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left"/>
      </w:pPr>
      <w:r>
        <w:rPr>
          <w:rFonts w:ascii="Calibri" w:cs="Calibri" w:eastAsia="Calibri" w:hAnsi="Calibri"/>
          <w:b/>
          <w:bCs/>
          <w:color w:val="0B1120"/>
          <w:sz w:val="36"/>
          <w:szCs w:val="36"/>
        </w:rPr>
        <w:t xml:space="preserve">Data Protection Impact Assessment (DPIA)</w:t>
      </w:r>
    </w:p>
    <w:p>
      <w:pPr>
        <w:pBdr>
          <w:bottom w:val="single" w:color="38BDF8" w:sz="12"/>
        </w:pBdr>
        <w:spacing w:after="260"/>
      </w:pPr>
      <w:r>
        <w:rPr>
          <w:rFonts w:ascii="Calibri" w:cs="Calibri" w:eastAsia="Calibri" w:hAnsi="Calibri"/>
          <w:color w:val="475569"/>
          <w:sz w:val="20"/>
          <w:szCs w:val="20"/>
        </w:rPr>
        <w:t xml:space="preserve">Workplace activity monitoring  |  Template for completion by the employer  |  Version 1.0</w:t>
      </w:r>
    </w:p>
    <w:p>
      <w:pPr>
        <w:pBdr>
          <w:left w:val="single" w:color="F59E0B" w:sz="18"/>
        </w:pBdr>
        <w:shd w:fill="FFF7E6" w:val="clear"/>
        <w:spacing w:after="160" w:before="160"/>
      </w:pPr>
      <w:r>
        <w:rPr>
          <w:rFonts w:ascii="Calibri" w:cs="Calibri" w:eastAsia="Calibri" w:hAnsi="Calibri"/>
          <w:i/>
          <w:iCs/>
          <w:color w:val="7C2D12"/>
          <w:sz w:val="19"/>
          <w:szCs w:val="19"/>
        </w:rPr>
        <w:t xml:space="preserve">TEMPLATE — the EMPLOYER (controller) completes this before monitoring begins. Structure follows the ICO’s recommended DPIA format. Keep the completed document on file; you do not normally send it to the ICO unless high risk remains.</w:t>
      </w:r>
    </w:p>
    <w:p>
      <w:pPr>
        <w:pStyle w:val="Heading1"/>
        <w:spacing w:after="140" w:before="280"/>
      </w:pPr>
      <w:r>
        <w:rPr>
          <w:rFonts w:ascii="Calibri" w:cs="Calibri" w:eastAsia="Calibri" w:hAnsi="Calibri"/>
          <w:b/>
          <w:bCs/>
          <w:color w:val="0B1120"/>
          <w:sz w:val="28"/>
          <w:szCs w:val="28"/>
        </w:rPr>
        <w:t xml:space="preserve">Step 1 — Identify the need for a DPIA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Describe what you plan to do and why a DPIA is required.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475569"/>
          <w:sz w:val="22"/>
          <w:szCs w:val="22"/>
        </w:rPr>
        <w:t xml:space="preserve">[We plan to introduce monitoring of application usage and active time on company devices, provided by Alpha IT Solutions. A DPIA is required because the processing involves systematic monitoring of individuals at work, which the ICO identifies as likely high risk.]</w:t>
      </w:r>
    </w:p>
    <w:p>
      <w:pPr>
        <w:pStyle w:val="Heading1"/>
        <w:spacing w:after="140" w:before="280"/>
      </w:pPr>
      <w:r>
        <w:rPr>
          <w:rFonts w:ascii="Calibri" w:cs="Calibri" w:eastAsia="Calibri" w:hAnsi="Calibri"/>
          <w:b/>
          <w:bCs/>
          <w:color w:val="0B1120"/>
          <w:sz w:val="28"/>
          <w:szCs w:val="28"/>
        </w:rPr>
        <w:t xml:space="preserve">Step 2 — Describe the processing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6226"/>
      </w:tblGrid>
      <w:tr>
        <w:tc>
          <w:tcPr>
            <w:tcW w:type="dxa" w:w="2800"/>
            <w:shd w:fill="E5F5F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Question</w:t>
            </w:r>
          </w:p>
        </w:tc>
        <w:tc>
          <w:tcPr>
            <w:tcW w:type="dxa" w:w="6226"/>
            <w:shd w:fill="E5F5F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Your answer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What data is collected?</w:t>
            </w:r>
          </w:p>
        </w:tc>
        <w:tc>
          <w:tcPr>
            <w:tcW w:type="dxa" w:w="6226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[Application name, active/idle time, device name, username]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How is it collected?</w:t>
            </w:r>
          </w:p>
        </w:tc>
        <w:tc>
          <w:tcPr>
            <w:tcW w:type="dxa" w:w="6226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[ActivityWatch agent on company devices; summaries sent to the Alpha IT portal]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How often / how long?</w:t>
            </w:r>
          </w:p>
        </w:tc>
        <w:tc>
          <w:tcPr>
            <w:tcW w:type="dxa" w:w="6226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[Continuously during working hours; retained for 90 days]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How many people affected?</w:t>
            </w:r>
          </w:p>
        </w:tc>
        <w:tc>
          <w:tcPr>
            <w:tcW w:type="dxa" w:w="6226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[NUMBER] employees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Who has access?</w:t>
            </w:r>
          </w:p>
        </w:tc>
        <w:tc>
          <w:tcPr>
            <w:tcW w:type="dxa" w:w="6226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[Line managers, HR, IT administrators]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Is it shared with anyone?</w:t>
            </w:r>
          </w:p>
        </w:tc>
        <w:tc>
          <w:tcPr>
            <w:tcW w:type="dxa" w:w="6226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[Alpha IT Solutions Ltd as processor only]</w:t>
            </w:r>
          </w:p>
        </w:tc>
      </w:tr>
    </w:tbl>
    <w:p>
      <w:pPr>
        <w:pStyle w:val="Heading1"/>
        <w:spacing w:after="140" w:before="280"/>
      </w:pPr>
      <w:r>
        <w:rPr>
          <w:rFonts w:ascii="Calibri" w:cs="Calibri" w:eastAsia="Calibri" w:hAnsi="Calibri"/>
          <w:b/>
          <w:bCs/>
          <w:color w:val="0B1120"/>
          <w:sz w:val="28"/>
          <w:szCs w:val="28"/>
        </w:rPr>
        <w:t xml:space="preserve">Step 3 — Consultation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Record who you consulted and what they said. The ICO expects you to seek the views of affected staff (or their representatives) unless there is a good reason not to.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1600"/>
        <w:gridCol w:w="4826"/>
      </w:tblGrid>
      <w:tr>
        <w:tc>
          <w:tcPr>
            <w:tcW w:type="dxa" w:w="2600"/>
            <w:shd w:fill="E5F5F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Consulted</w:t>
            </w:r>
          </w:p>
        </w:tc>
        <w:tc>
          <w:tcPr>
            <w:tcW w:type="dxa" w:w="1600"/>
            <w:shd w:fill="E5F5F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Date</w:t>
            </w:r>
          </w:p>
        </w:tc>
        <w:tc>
          <w:tcPr>
            <w:tcW w:type="dxa" w:w="4826"/>
            <w:shd w:fill="E5F5F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Outcome / views raised</w:t>
            </w:r>
          </w:p>
        </w:tc>
      </w:tr>
      <w:tr>
        <w:tc>
          <w:tcPr>
            <w:tcW w:type="dxa" w:w="26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[Staff / union / reps]</w:t>
            </w:r>
          </w:p>
        </w:tc>
        <w:tc>
          <w:tcPr>
            <w:tcW w:type="dxa" w:w="16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[DATE]</w:t>
            </w:r>
          </w:p>
        </w:tc>
        <w:tc>
          <w:tcPr>
            <w:tcW w:type="dxa" w:w="4826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[SUMMARY]</w:t>
            </w:r>
          </w:p>
        </w:tc>
      </w:tr>
      <w:tr>
        <w:tc>
          <w:tcPr>
            <w:tcW w:type="dxa" w:w="26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[IT / Alpha IT Solutions]</w:t>
            </w:r>
          </w:p>
        </w:tc>
        <w:tc>
          <w:tcPr>
            <w:tcW w:type="dxa" w:w="16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[DATE]</w:t>
            </w:r>
          </w:p>
        </w:tc>
        <w:tc>
          <w:tcPr>
            <w:tcW w:type="dxa" w:w="4826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[SUMMARY]</w:t>
            </w:r>
          </w:p>
        </w:tc>
      </w:tr>
      <w:tr>
        <w:tc>
          <w:tcPr>
            <w:tcW w:type="dxa" w:w="26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[DPO or legal adviser]</w:t>
            </w:r>
          </w:p>
        </w:tc>
        <w:tc>
          <w:tcPr>
            <w:tcW w:type="dxa" w:w="16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[DATE]</w:t>
            </w:r>
          </w:p>
        </w:tc>
        <w:tc>
          <w:tcPr>
            <w:tcW w:type="dxa" w:w="4826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[SUMMARY]</w:t>
            </w:r>
          </w:p>
        </w:tc>
      </w:tr>
    </w:tbl>
    <w:p>
      <w:pPr>
        <w:pStyle w:val="Heading1"/>
        <w:spacing w:after="140" w:before="280"/>
      </w:pPr>
      <w:r>
        <w:rPr>
          <w:rFonts w:ascii="Calibri" w:cs="Calibri" w:eastAsia="Calibri" w:hAnsi="Calibri"/>
          <w:b/>
          <w:bCs/>
          <w:color w:val="0B1120"/>
          <w:sz w:val="28"/>
          <w:szCs w:val="28"/>
        </w:rPr>
        <w:t xml:space="preserve">Step 4 — Assess necessity and proportionality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6226"/>
      </w:tblGrid>
      <w:tr>
        <w:tc>
          <w:tcPr>
            <w:tcW w:type="dxa" w:w="2800"/>
            <w:shd w:fill="E5F5F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Question</w:t>
            </w:r>
          </w:p>
        </w:tc>
        <w:tc>
          <w:tcPr>
            <w:tcW w:type="dxa" w:w="6226"/>
            <w:shd w:fill="E5F5F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Your answer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What is the lawful basis?</w:t>
            </w:r>
          </w:p>
        </w:tc>
        <w:tc>
          <w:tcPr>
            <w:tcW w:type="dxa" w:w="6226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[Legitimate interests — LIA completed and attached]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Does it achieve the purpose?</w:t>
            </w:r>
          </w:p>
        </w:tc>
        <w:tc>
          <w:tcPr>
            <w:tcW w:type="dxa" w:w="6226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[YES — explain how]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Is there a less intrusive way?</w:t>
            </w:r>
          </w:p>
        </w:tc>
        <w:tc>
          <w:tcPr>
            <w:tcW w:type="dxa" w:w="6226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[Considered: no monitoring, or manual reporting. Rejected because…]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How is data minimised?</w:t>
            </w:r>
          </w:p>
        </w:tc>
        <w:tc>
          <w:tcPr>
            <w:tcW w:type="dxa" w:w="6226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[No keystrokes, screenshots or content captured; app name and duration only]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How are people informed?</w:t>
            </w:r>
          </w:p>
        </w:tc>
        <w:tc>
          <w:tcPr>
            <w:tcW w:type="dxa" w:w="6226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[Monitoring policy and privacy notice issued and acknowledged]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How are rights supported?</w:t>
            </w:r>
          </w:p>
        </w:tc>
        <w:tc>
          <w:tcPr>
            <w:tcW w:type="dxa" w:w="6226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[SAR process in place; objection route published]</w:t>
            </w:r>
          </w:p>
        </w:tc>
      </w:tr>
    </w:tbl>
    <w:p>
      <w:pPr>
        <w:pageBreakBefore/>
      </w:pPr>
    </w:p>
    <w:p>
      <w:pPr>
        <w:pStyle w:val="Heading1"/>
        <w:spacing w:after="140" w:before="280"/>
      </w:pPr>
      <w:r>
        <w:rPr>
          <w:rFonts w:ascii="Calibri" w:cs="Calibri" w:eastAsia="Calibri" w:hAnsi="Calibri"/>
          <w:b/>
          <w:bCs/>
          <w:color w:val="0B1120"/>
          <w:sz w:val="28"/>
          <w:szCs w:val="28"/>
        </w:rPr>
        <w:t xml:space="preserve">Step 5 — Identify and assess risks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1876"/>
        <w:gridCol w:w="1875"/>
        <w:gridCol w:w="1875"/>
      </w:tblGrid>
      <w:tr>
        <w:tc>
          <w:tcPr>
            <w:tcW w:type="dxa" w:w="3400"/>
            <w:shd w:fill="E5F5F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Risk to individuals</w:t>
            </w:r>
          </w:p>
        </w:tc>
        <w:tc>
          <w:tcPr>
            <w:tcW w:type="dxa" w:w="1876"/>
            <w:shd w:fill="E5F5F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Likelihood</w:t>
            </w:r>
          </w:p>
        </w:tc>
        <w:tc>
          <w:tcPr>
            <w:tcW w:type="dxa" w:w="1875"/>
            <w:shd w:fill="E5F5F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Severity</w:t>
            </w:r>
          </w:p>
        </w:tc>
        <w:tc>
          <w:tcPr>
            <w:tcW w:type="dxa" w:w="1875"/>
            <w:shd w:fill="E5F5F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Overall risk</w:t>
            </w:r>
          </w:p>
        </w:tc>
      </w:tr>
      <w:tr>
        <w:tc>
          <w:tcPr>
            <w:tcW w:type="dxa" w:w="34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Staff feel under surveillance; loss of trust</w:t>
            </w:r>
          </w:p>
        </w:tc>
        <w:tc>
          <w:tcPr>
            <w:tcW w:type="dxa" w:w="1876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[Possible]</w:t>
            </w:r>
          </w:p>
        </w:tc>
        <w:tc>
          <w:tcPr>
            <w:tcW w:type="dxa" w:w="1875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[Significant]</w:t>
            </w:r>
          </w:p>
        </w:tc>
        <w:tc>
          <w:tcPr>
            <w:tcW w:type="dxa" w:w="1875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[Medium]</w:t>
            </w:r>
          </w:p>
        </w:tc>
      </w:tr>
      <w:tr>
        <w:tc>
          <w:tcPr>
            <w:tcW w:type="dxa" w:w="34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Data used unfairly in performance decisions</w:t>
            </w:r>
          </w:p>
        </w:tc>
        <w:tc>
          <w:tcPr>
            <w:tcW w:type="dxa" w:w="1876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[Possible]</w:t>
            </w:r>
          </w:p>
        </w:tc>
        <w:tc>
          <w:tcPr>
            <w:tcW w:type="dxa" w:w="1875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[Significant]</w:t>
            </w:r>
          </w:p>
        </w:tc>
        <w:tc>
          <w:tcPr>
            <w:tcW w:type="dxa" w:w="1875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[Medium]</w:t>
            </w:r>
          </w:p>
        </w:tc>
      </w:tr>
      <w:tr>
        <w:tc>
          <w:tcPr>
            <w:tcW w:type="dxa" w:w="34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Excessive data collected beyond purpose</w:t>
            </w:r>
          </w:p>
        </w:tc>
        <w:tc>
          <w:tcPr>
            <w:tcW w:type="dxa" w:w="1876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[Remote]</w:t>
            </w:r>
          </w:p>
        </w:tc>
        <w:tc>
          <w:tcPr>
            <w:tcW w:type="dxa" w:w="1875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[Significant]</w:t>
            </w:r>
          </w:p>
        </w:tc>
        <w:tc>
          <w:tcPr>
            <w:tcW w:type="dxa" w:w="1875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[Low]</w:t>
            </w:r>
          </w:p>
        </w:tc>
      </w:tr>
      <w:tr>
        <w:tc>
          <w:tcPr>
            <w:tcW w:type="dxa" w:w="34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Unauthorised access to monitoring data</w:t>
            </w:r>
          </w:p>
        </w:tc>
        <w:tc>
          <w:tcPr>
            <w:tcW w:type="dxa" w:w="1876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[Remote]</w:t>
            </w:r>
          </w:p>
        </w:tc>
        <w:tc>
          <w:tcPr>
            <w:tcW w:type="dxa" w:w="1875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[Severe]</w:t>
            </w:r>
          </w:p>
        </w:tc>
        <w:tc>
          <w:tcPr>
            <w:tcW w:type="dxa" w:w="1875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[Medium]</w:t>
            </w:r>
          </w:p>
        </w:tc>
      </w:tr>
      <w:tr>
        <w:tc>
          <w:tcPr>
            <w:tcW w:type="dxa" w:w="34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Data retained longer than necessary</w:t>
            </w:r>
          </w:p>
        </w:tc>
        <w:tc>
          <w:tcPr>
            <w:tcW w:type="dxa" w:w="1876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[Remote]</w:t>
            </w:r>
          </w:p>
        </w:tc>
        <w:tc>
          <w:tcPr>
            <w:tcW w:type="dxa" w:w="1875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[Minimal]</w:t>
            </w:r>
          </w:p>
        </w:tc>
        <w:tc>
          <w:tcPr>
            <w:tcW w:type="dxa" w:w="1875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[Low]</w:t>
            </w:r>
          </w:p>
        </w:tc>
      </w:tr>
    </w:tbl>
    <w:p>
      <w:pPr>
        <w:pStyle w:val="Heading1"/>
        <w:spacing w:after="140" w:before="280"/>
      </w:pPr>
      <w:r>
        <w:rPr>
          <w:rFonts w:ascii="Calibri" w:cs="Calibri" w:eastAsia="Calibri" w:hAnsi="Calibri"/>
          <w:b/>
          <w:bCs/>
          <w:color w:val="0B1120"/>
          <w:sz w:val="28"/>
          <w:szCs w:val="28"/>
        </w:rPr>
        <w:t xml:space="preserve">Step 6 — Measures to reduce risk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4026"/>
        <w:gridCol w:w="1400"/>
        <w:gridCol w:w="1400"/>
      </w:tblGrid>
      <w:tr>
        <w:tc>
          <w:tcPr>
            <w:tcW w:type="dxa" w:w="2200"/>
            <w:shd w:fill="E5F5F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Risk</w:t>
            </w:r>
          </w:p>
        </w:tc>
        <w:tc>
          <w:tcPr>
            <w:tcW w:type="dxa" w:w="4026"/>
            <w:shd w:fill="E5F5F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Measure</w:t>
            </w:r>
          </w:p>
        </w:tc>
        <w:tc>
          <w:tcPr>
            <w:tcW w:type="dxa" w:w="1400"/>
            <w:shd w:fill="E5F5F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Residual risk</w:t>
            </w:r>
          </w:p>
        </w:tc>
        <w:tc>
          <w:tcPr>
            <w:tcW w:type="dxa" w:w="1400"/>
            <w:shd w:fill="E5F5F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Approved</w:t>
            </w:r>
          </w:p>
        </w:tc>
      </w:tr>
      <w:tr>
        <w:tc>
          <w:tcPr>
            <w:tcW w:type="dxa" w:w="22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Loss of trust</w:t>
            </w:r>
          </w:p>
        </w:tc>
        <w:tc>
          <w:tcPr>
            <w:tcW w:type="dxa" w:w="4026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Transparent policy, staff consultation, no covert monitoring</w:t>
            </w:r>
          </w:p>
        </w:tc>
        <w:tc>
          <w:tcPr>
            <w:tcW w:type="dxa" w:w="14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[Low]</w:t>
            </w:r>
          </w:p>
        </w:tc>
        <w:tc>
          <w:tcPr>
            <w:tcW w:type="dxa" w:w="14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[Y/N]</w:t>
            </w:r>
          </w:p>
        </w:tc>
      </w:tr>
      <w:tr>
        <w:tc>
          <w:tcPr>
            <w:tcW w:type="dxa" w:w="22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Unfair performance use</w:t>
            </w:r>
          </w:p>
        </w:tc>
        <w:tc>
          <w:tcPr>
            <w:tcW w:type="dxa" w:w="4026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Data never sole basis for decisions; discussed with employee first</w:t>
            </w:r>
          </w:p>
        </w:tc>
        <w:tc>
          <w:tcPr>
            <w:tcW w:type="dxa" w:w="14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[Low]</w:t>
            </w:r>
          </w:p>
        </w:tc>
        <w:tc>
          <w:tcPr>
            <w:tcW w:type="dxa" w:w="14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[Y/N]</w:t>
            </w:r>
          </w:p>
        </w:tc>
      </w:tr>
      <w:tr>
        <w:tc>
          <w:tcPr>
            <w:tcW w:type="dxa" w:w="22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Excessive collection</w:t>
            </w:r>
          </w:p>
        </w:tc>
        <w:tc>
          <w:tcPr>
            <w:tcW w:type="dxa" w:w="4026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Technically limited to app name + duration; no content capture</w:t>
            </w:r>
          </w:p>
        </w:tc>
        <w:tc>
          <w:tcPr>
            <w:tcW w:type="dxa" w:w="14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[Low]</w:t>
            </w:r>
          </w:p>
        </w:tc>
        <w:tc>
          <w:tcPr>
            <w:tcW w:type="dxa" w:w="14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[Y/N]</w:t>
            </w:r>
          </w:p>
        </w:tc>
      </w:tr>
      <w:tr>
        <w:tc>
          <w:tcPr>
            <w:tcW w:type="dxa" w:w="22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Unauthorised access</w:t>
            </w:r>
          </w:p>
        </w:tc>
        <w:tc>
          <w:tcPr>
            <w:tcW w:type="dxa" w:w="4026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RBAC, per-client database isolation, encryption, audit logging</w:t>
            </w:r>
          </w:p>
        </w:tc>
        <w:tc>
          <w:tcPr>
            <w:tcW w:type="dxa" w:w="14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[Low]</w:t>
            </w:r>
          </w:p>
        </w:tc>
        <w:tc>
          <w:tcPr>
            <w:tcW w:type="dxa" w:w="14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[Y/N]</w:t>
            </w:r>
          </w:p>
        </w:tc>
      </w:tr>
      <w:tr>
        <w:tc>
          <w:tcPr>
            <w:tcW w:type="dxa" w:w="22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Over-retention</w:t>
            </w:r>
          </w:p>
        </w:tc>
        <w:tc>
          <w:tcPr>
            <w:tcW w:type="dxa" w:w="4026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Automatic deletion after 90 days</w:t>
            </w:r>
          </w:p>
        </w:tc>
        <w:tc>
          <w:tcPr>
            <w:tcW w:type="dxa" w:w="14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[Low]</w:t>
            </w:r>
          </w:p>
        </w:tc>
        <w:tc>
          <w:tcPr>
            <w:tcW w:type="dxa" w:w="14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[Y/N]</w:t>
            </w:r>
          </w:p>
        </w:tc>
      </w:tr>
    </w:tbl>
    <w:p>
      <w:pPr>
        <w:pStyle w:val="Heading1"/>
        <w:spacing w:after="140" w:before="280"/>
      </w:pPr>
      <w:r>
        <w:rPr>
          <w:rFonts w:ascii="Calibri" w:cs="Calibri" w:eastAsia="Calibri" w:hAnsi="Calibri"/>
          <w:b/>
          <w:bCs/>
          <w:color w:val="0B1120"/>
          <w:sz w:val="28"/>
          <w:szCs w:val="28"/>
        </w:rPr>
        <w:t xml:space="preserve">Step 7 — Sign off and record outcomes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4226"/>
        <w:gridCol w:w="2000"/>
      </w:tblGrid>
      <w:tr>
        <w:tc>
          <w:tcPr>
            <w:tcW w:type="dxa" w:w="2800"/>
            <w:shd w:fill="E5F5F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Item</w:t>
            </w:r>
          </w:p>
        </w:tc>
        <w:tc>
          <w:tcPr>
            <w:tcW w:type="dxa" w:w="4226"/>
            <w:shd w:fill="E5F5F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Name / detail</w:t>
            </w:r>
          </w:p>
        </w:tc>
        <w:tc>
          <w:tcPr>
            <w:tcW w:type="dxa" w:w="2000"/>
            <w:shd w:fill="E5F5F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Date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Measures approved by</w:t>
            </w:r>
          </w:p>
        </w:tc>
        <w:tc>
          <w:tcPr>
            <w:tcW w:type="dxa" w:w="4226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[NAME, ROLE]</w:t>
            </w:r>
          </w:p>
        </w:tc>
        <w:tc>
          <w:tcPr>
            <w:tcW w:type="dxa" w:w="20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[DATE]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Residual risks approved by</w:t>
            </w:r>
          </w:p>
        </w:tc>
        <w:tc>
          <w:tcPr>
            <w:tcW w:type="dxa" w:w="4226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[NAME, ROLE]</w:t>
            </w:r>
          </w:p>
        </w:tc>
        <w:tc>
          <w:tcPr>
            <w:tcW w:type="dxa" w:w="20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[DATE]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DPO advice provided</w:t>
            </w:r>
          </w:p>
        </w:tc>
        <w:tc>
          <w:tcPr>
            <w:tcW w:type="dxa" w:w="4226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[NAME or "no DPO appointed"]</w:t>
            </w:r>
          </w:p>
        </w:tc>
        <w:tc>
          <w:tcPr>
            <w:tcW w:type="dxa" w:w="20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[DATE]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Consultation with ICO needed?</w:t>
            </w:r>
          </w:p>
        </w:tc>
        <w:tc>
          <w:tcPr>
            <w:tcW w:type="dxa" w:w="4226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[NO — residual risk is low]</w:t>
            </w:r>
          </w:p>
        </w:tc>
        <w:tc>
          <w:tcPr>
            <w:tcW w:type="dxa" w:w="20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[DATE]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Review date</w:t>
            </w:r>
          </w:p>
        </w:tc>
        <w:tc>
          <w:tcPr>
            <w:tcW w:type="dxa" w:w="4226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[DATE + 12 MONTHS]</w:t>
            </w:r>
          </w:p>
        </w:tc>
        <w:tc>
          <w:tcPr>
            <w:tcW w:type="dxa" w:w="20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pBdr>
          <w:left w:val="single" w:color="F59E0B" w:sz="18"/>
        </w:pBdr>
        <w:shd w:fill="FFF7E6" w:val="clear"/>
        <w:spacing w:after="160" w:before="160"/>
      </w:pPr>
      <w:r>
        <w:rPr>
          <w:rFonts w:ascii="Calibri" w:cs="Calibri" w:eastAsia="Calibri" w:hAnsi="Calibri"/>
          <w:i/>
          <w:iCs/>
          <w:color w:val="7C2D12"/>
          <w:sz w:val="19"/>
          <w:szCs w:val="19"/>
        </w:rPr>
        <w:t xml:space="preserve">If any residual risk remains HIGH after mitigation, you must consult the ICO before starting the processing.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2026-07-24T11:42:51.633Z</dcterms:created>
  <dcterms:modified xsi:type="dcterms:W3CDTF">2026-07-24T11:42:51.633Z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