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left"/>
      </w:pPr>
      <w:r>
        <w:rPr>
          <w:rFonts w:ascii="Calibri" w:cs="Calibri" w:eastAsia="Calibri" w:hAnsi="Calibri"/>
          <w:b/>
          <w:bCs/>
          <w:color w:val="0B1120"/>
          <w:sz w:val="36"/>
          <w:szCs w:val="36"/>
        </w:rPr>
        <w:t xml:space="preserve">Data Processing Agreement</w:t>
      </w:r>
    </w:p>
    <w:p>
      <w:pPr>
        <w:pBdr>
          <w:bottom w:val="single" w:color="38BDF8" w:sz="12"/>
        </w:pBdr>
        <w:spacing w:after="260"/>
      </w:pPr>
      <w:r>
        <w:rPr>
          <w:rFonts w:ascii="Calibri" w:cs="Calibri" w:eastAsia="Calibri" w:hAnsi="Calibri"/>
          <w:color w:val="475569"/>
          <w:sz w:val="20"/>
          <w:szCs w:val="20"/>
        </w:rPr>
        <w:t xml:space="preserve">Between the Client (Controller) and Alpha IT Solutions Ltd (Processor)  |  UK GDPR Article 28  |  Version 1.0</w:t>
      </w:r>
    </w:p>
    <w:p>
      <w:pPr>
        <w:pBdr>
          <w:left w:val="single" w:color="F59E0B" w:sz="18"/>
        </w:pBdr>
        <w:shd w:fill="FFF7E6" w:val="clear"/>
        <w:spacing w:after="160" w:before="160"/>
      </w:pPr>
      <w:r>
        <w:rPr>
          <w:rFonts w:ascii="Calibri" w:cs="Calibri" w:eastAsia="Calibri" w:hAnsi="Calibri"/>
          <w:i/>
          <w:iCs/>
          <w:color w:val="7C2D12"/>
          <w:sz w:val="19"/>
          <w:szCs w:val="19"/>
        </w:rPr>
        <w:t xml:space="preserve">TEMPLATE — replace every [BRACKETED] field. Have this reviewed by a solicitor before signing. This agreement is required by law where Alpha IT processes personal data on a client’s behalf.</w:t>
      </w:r>
    </w:p>
    <w:p>
      <w:pPr>
        <w:pStyle w:val="Heading1"/>
        <w:spacing w:after="140" w:before="280"/>
      </w:pPr>
      <w:r>
        <w:rPr>
          <w:rFonts w:ascii="Calibri" w:cs="Calibri" w:eastAsia="Calibri" w:hAnsi="Calibri"/>
          <w:b/>
          <w:bCs/>
          <w:color w:val="0B1120"/>
          <w:sz w:val="28"/>
          <w:szCs w:val="28"/>
        </w:rPr>
        <w:t xml:space="preserve">1. Parties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200"/>
        <w:gridCol w:w="4026"/>
      </w:tblGrid>
      <w:tr>
        <w:tc>
          <w:tcPr>
            <w:tcW w:type="dxa" w:w="1800"/>
            <w:shd w:fill="E5F5FE" w:val="clear"/>
            <w:tcMar>
              <w:top w:type="dxa" w:w="80"/>
              <w:left w:type="dxa" w:w="120"/>
              <w:bottom w:type="dxa" w:w="80"/>
              <w:right w:type="dxa" w:w="120"/>
            </w:tcMar>
          </w:tcPr>
          <w:p>
            <w:r>
              <w:rPr>
                <w:rFonts w:ascii="Calibri" w:cs="Calibri" w:eastAsia="Calibri" w:hAnsi="Calibri"/>
                <w:b/>
                <w:bCs/>
                <w:sz w:val="20"/>
                <w:szCs w:val="20"/>
              </w:rPr>
              <w:t xml:space="preserve">Role</w:t>
            </w:r>
          </w:p>
        </w:tc>
        <w:tc>
          <w:tcPr>
            <w:tcW w:type="dxa" w:w="3200"/>
            <w:shd w:fill="E5F5FE" w:val="clear"/>
            <w:tcMar>
              <w:top w:type="dxa" w:w="80"/>
              <w:left w:type="dxa" w:w="120"/>
              <w:bottom w:type="dxa" w:w="80"/>
              <w:right w:type="dxa" w:w="120"/>
            </w:tcMar>
          </w:tcPr>
          <w:p>
            <w:r>
              <w:rPr>
                <w:rFonts w:ascii="Calibri" w:cs="Calibri" w:eastAsia="Calibri" w:hAnsi="Calibri"/>
                <w:b/>
                <w:bCs/>
                <w:sz w:val="20"/>
                <w:szCs w:val="20"/>
              </w:rPr>
              <w:t xml:space="preserve">Party</w:t>
            </w:r>
          </w:p>
        </w:tc>
        <w:tc>
          <w:tcPr>
            <w:tcW w:type="dxa" w:w="4026"/>
            <w:shd w:fill="E5F5FE" w:val="clear"/>
            <w:tcMar>
              <w:top w:type="dxa" w:w="80"/>
              <w:left w:type="dxa" w:w="120"/>
              <w:bottom w:type="dxa" w:w="80"/>
              <w:right w:type="dxa" w:w="120"/>
            </w:tcMar>
          </w:tcPr>
          <w:p>
            <w:r>
              <w:rPr>
                <w:rFonts w:ascii="Calibri" w:cs="Calibri" w:eastAsia="Calibri" w:hAnsi="Calibri"/>
                <w:b/>
                <w:bCs/>
                <w:sz w:val="20"/>
                <w:szCs w:val="20"/>
              </w:rPr>
              <w:t xml:space="preserve">Details</w:t>
            </w:r>
          </w:p>
        </w:tc>
      </w:tr>
      <w:tr>
        <w:tc>
          <w:tcPr>
            <w:tcW w:type="dxa" w:w="1800"/>
            <w:tcMar>
              <w:top w:type="dxa" w:w="80"/>
              <w:left w:type="dxa" w:w="120"/>
              <w:bottom w:type="dxa" w:w="80"/>
              <w:right w:type="dxa" w:w="120"/>
            </w:tcMar>
          </w:tcPr>
          <w:p>
            <w:r>
              <w:rPr>
                <w:rFonts w:ascii="Calibri" w:cs="Calibri" w:eastAsia="Calibri" w:hAnsi="Calibri"/>
                <w:b w:val="false"/>
                <w:bCs w:val="false"/>
                <w:sz w:val="20"/>
                <w:szCs w:val="20"/>
              </w:rPr>
              <w:t xml:space="preserve">Controller</w:t>
            </w:r>
          </w:p>
        </w:tc>
        <w:tc>
          <w:tcPr>
            <w:tcW w:type="dxa" w:w="3200"/>
            <w:tcMar>
              <w:top w:type="dxa" w:w="80"/>
              <w:left w:type="dxa" w:w="120"/>
              <w:bottom w:type="dxa" w:w="80"/>
              <w:right w:type="dxa" w:w="120"/>
            </w:tcMar>
          </w:tcPr>
          <w:p>
            <w:r>
              <w:rPr>
                <w:rFonts w:ascii="Calibri" w:cs="Calibri" w:eastAsia="Calibri" w:hAnsi="Calibri"/>
                <w:b w:val="false"/>
                <w:bCs w:val="false"/>
                <w:sz w:val="20"/>
                <w:szCs w:val="20"/>
              </w:rPr>
              <w:t xml:space="preserve">[CLIENT COMPANY NAME]</w:t>
            </w:r>
          </w:p>
        </w:tc>
        <w:tc>
          <w:tcPr>
            <w:tcW w:type="dxa" w:w="4026"/>
            <w:tcMar>
              <w:top w:type="dxa" w:w="80"/>
              <w:left w:type="dxa" w:w="120"/>
              <w:bottom w:type="dxa" w:w="80"/>
              <w:right w:type="dxa" w:w="120"/>
            </w:tcMar>
          </w:tcPr>
          <w:p>
            <w:r>
              <w:rPr>
                <w:rFonts w:ascii="Calibri" w:cs="Calibri" w:eastAsia="Calibri" w:hAnsi="Calibri"/>
                <w:b w:val="false"/>
                <w:bCs w:val="false"/>
                <w:sz w:val="20"/>
                <w:szCs w:val="20"/>
              </w:rPr>
              <w:t xml:space="preserve">[REGISTERED ADDRESS] / Company no. [NUMBER]</w:t>
            </w:r>
          </w:p>
        </w:tc>
      </w:tr>
      <w:tr>
        <w:tc>
          <w:tcPr>
            <w:tcW w:type="dxa" w:w="1800"/>
            <w:tcMar>
              <w:top w:type="dxa" w:w="80"/>
              <w:left w:type="dxa" w:w="120"/>
              <w:bottom w:type="dxa" w:w="80"/>
              <w:right w:type="dxa" w:w="120"/>
            </w:tcMar>
          </w:tcPr>
          <w:p>
            <w:r>
              <w:rPr>
                <w:rFonts w:ascii="Calibri" w:cs="Calibri" w:eastAsia="Calibri" w:hAnsi="Calibri"/>
                <w:b w:val="false"/>
                <w:bCs w:val="false"/>
                <w:sz w:val="20"/>
                <w:szCs w:val="20"/>
              </w:rPr>
              <w:t xml:space="preserve">Processor</w:t>
            </w:r>
          </w:p>
        </w:tc>
        <w:tc>
          <w:tcPr>
            <w:tcW w:type="dxa" w:w="3200"/>
            <w:tcMar>
              <w:top w:type="dxa" w:w="80"/>
              <w:left w:type="dxa" w:w="120"/>
              <w:bottom w:type="dxa" w:w="80"/>
              <w:right w:type="dxa" w:w="120"/>
            </w:tcMar>
          </w:tcPr>
          <w:p>
            <w:r>
              <w:rPr>
                <w:rFonts w:ascii="Calibri" w:cs="Calibri" w:eastAsia="Calibri" w:hAnsi="Calibri"/>
                <w:b w:val="false"/>
                <w:bCs w:val="false"/>
                <w:sz w:val="20"/>
                <w:szCs w:val="20"/>
              </w:rPr>
              <w:t xml:space="preserve">Alpha IT Solutions Ltd</w:t>
            </w:r>
          </w:p>
        </w:tc>
        <w:tc>
          <w:tcPr>
            <w:tcW w:type="dxa" w:w="4026"/>
            <w:tcMar>
              <w:top w:type="dxa" w:w="80"/>
              <w:left w:type="dxa" w:w="120"/>
              <w:bottom w:type="dxa" w:w="80"/>
              <w:right w:type="dxa" w:w="120"/>
            </w:tcMar>
          </w:tcPr>
          <w:p>
            <w:r>
              <w:rPr>
                <w:rFonts w:ascii="Calibri" w:cs="Calibri" w:eastAsia="Calibri" w:hAnsi="Calibri"/>
                <w:b w:val="false"/>
                <w:bCs w:val="false"/>
                <w:sz w:val="20"/>
                <w:szCs w:val="20"/>
              </w:rPr>
              <w:t xml:space="preserve">37 Tallow Close, Dagenham, England, RM9 6EF / Company no. 15837037 (registered in England and Wales)</w:t>
            </w:r>
          </w:p>
        </w:tc>
      </w:tr>
    </w:tbl>
    <w:p>
      <w:pPr>
        <w:spacing w:after="120"/>
      </w:pPr>
      <w:r>
        <w:rPr>
          <w:rFonts w:ascii="Calibri" w:cs="Calibri" w:eastAsia="Calibri" w:hAnsi="Calibri"/>
          <w:sz w:val="22"/>
          <w:szCs w:val="22"/>
        </w:rPr>
        <w:t xml:space="preserve">This Agreement takes effect on [DATE] and continues for as long as the Processor processes personal data on behalf of the Controller.</w:t>
      </w:r>
    </w:p>
    <w:p>
      <w:pPr>
        <w:pStyle w:val="Heading1"/>
        <w:spacing w:after="140" w:before="280"/>
      </w:pPr>
      <w:r>
        <w:rPr>
          <w:rFonts w:ascii="Calibri" w:cs="Calibri" w:eastAsia="Calibri" w:hAnsi="Calibri"/>
          <w:b/>
          <w:bCs/>
          <w:color w:val="0B1120"/>
          <w:sz w:val="28"/>
          <w:szCs w:val="28"/>
        </w:rPr>
        <w:t xml:space="preserve">2. Definitions</w:t>
      </w:r>
    </w:p>
    <w:p>
      <w:pPr>
        <w:spacing w:after="120"/>
      </w:pPr>
      <w:r>
        <w:rPr>
          <w:rFonts w:ascii="Calibri" w:cs="Calibri" w:eastAsia="Calibri" w:hAnsi="Calibri"/>
          <w:sz w:val="22"/>
          <w:szCs w:val="22"/>
        </w:rPr>
        <w:t xml:space="preserve">"UK GDPR", "personal data", "processing", "data subject", "controller" and "processor" have the meanings given in the UK General Data Protection Regulation and the Data Protection Act 2018. "Services" means the IT management, monitoring and support services supplied by the Processor to the Controller.</w:t>
      </w:r>
    </w:p>
    <w:p>
      <w:pPr>
        <w:pStyle w:val="Heading1"/>
        <w:spacing w:after="140" w:before="280"/>
      </w:pPr>
      <w:r>
        <w:rPr>
          <w:rFonts w:ascii="Calibri" w:cs="Calibri" w:eastAsia="Calibri" w:hAnsi="Calibri"/>
          <w:b/>
          <w:bCs/>
          <w:color w:val="0B1120"/>
          <w:sz w:val="28"/>
          <w:szCs w:val="28"/>
        </w:rPr>
        <w:t xml:space="preserve">3. Subject matter and details of processing</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400"/>
        <w:gridCol w:w="6626"/>
      </w:tblGrid>
      <w:tr>
        <w:tc>
          <w:tcPr>
            <w:tcW w:type="dxa" w:w="2400"/>
            <w:shd w:fill="E5F5FE" w:val="clear"/>
            <w:tcMar>
              <w:top w:type="dxa" w:w="80"/>
              <w:left w:type="dxa" w:w="120"/>
              <w:bottom w:type="dxa" w:w="80"/>
              <w:right w:type="dxa" w:w="120"/>
            </w:tcMar>
          </w:tcPr>
          <w:p>
            <w:r>
              <w:rPr>
                <w:rFonts w:ascii="Calibri" w:cs="Calibri" w:eastAsia="Calibri" w:hAnsi="Calibri"/>
                <w:b/>
                <w:bCs/>
                <w:sz w:val="20"/>
                <w:szCs w:val="20"/>
              </w:rPr>
              <w:t xml:space="preserve">Item</w:t>
            </w:r>
          </w:p>
        </w:tc>
        <w:tc>
          <w:tcPr>
            <w:tcW w:type="dxa" w:w="6626"/>
            <w:shd w:fill="E5F5FE" w:val="clear"/>
            <w:tcMar>
              <w:top w:type="dxa" w:w="80"/>
              <w:left w:type="dxa" w:w="120"/>
              <w:bottom w:type="dxa" w:w="80"/>
              <w:right w:type="dxa" w:w="120"/>
            </w:tcMar>
          </w:tcPr>
          <w:p>
            <w:r>
              <w:rPr>
                <w:rFonts w:ascii="Calibri" w:cs="Calibri" w:eastAsia="Calibri" w:hAnsi="Calibri"/>
                <w:b/>
                <w:bCs/>
                <w:sz w:val="20"/>
                <w:szCs w:val="20"/>
              </w:rPr>
              <w:t xml:space="preserve">Detail</w:t>
            </w:r>
          </w:p>
        </w:tc>
      </w:tr>
      <w:tr>
        <w:tc>
          <w:tcPr>
            <w:tcW w:type="dxa" w:w="2400"/>
            <w:tcMar>
              <w:top w:type="dxa" w:w="80"/>
              <w:left w:type="dxa" w:w="120"/>
              <w:bottom w:type="dxa" w:w="80"/>
              <w:right w:type="dxa" w:w="120"/>
            </w:tcMar>
          </w:tcPr>
          <w:p>
            <w:r>
              <w:rPr>
                <w:rFonts w:ascii="Calibri" w:cs="Calibri" w:eastAsia="Calibri" w:hAnsi="Calibri"/>
                <w:b w:val="false"/>
                <w:bCs w:val="false"/>
                <w:sz w:val="20"/>
                <w:szCs w:val="20"/>
              </w:rPr>
              <w:t xml:space="preserve">Subject matter</w:t>
            </w:r>
          </w:p>
        </w:tc>
        <w:tc>
          <w:tcPr>
            <w:tcW w:type="dxa" w:w="6626"/>
            <w:tcMar>
              <w:top w:type="dxa" w:w="80"/>
              <w:left w:type="dxa" w:w="120"/>
              <w:bottom w:type="dxa" w:w="80"/>
              <w:right w:type="dxa" w:w="120"/>
            </w:tcMar>
          </w:tcPr>
          <w:p>
            <w:r>
              <w:rPr>
                <w:rFonts w:ascii="Calibri" w:cs="Calibri" w:eastAsia="Calibri" w:hAnsi="Calibri"/>
                <w:b w:val="false"/>
                <w:bCs w:val="false"/>
                <w:sz w:val="20"/>
                <w:szCs w:val="20"/>
              </w:rPr>
              <w:t xml:space="preserve">Provision of IT management, device monitoring and workplace activity reporting</w:t>
            </w:r>
          </w:p>
        </w:tc>
      </w:tr>
      <w:tr>
        <w:tc>
          <w:tcPr>
            <w:tcW w:type="dxa" w:w="2400"/>
            <w:tcMar>
              <w:top w:type="dxa" w:w="80"/>
              <w:left w:type="dxa" w:w="120"/>
              <w:bottom w:type="dxa" w:w="80"/>
              <w:right w:type="dxa" w:w="120"/>
            </w:tcMar>
          </w:tcPr>
          <w:p>
            <w:r>
              <w:rPr>
                <w:rFonts w:ascii="Calibri" w:cs="Calibri" w:eastAsia="Calibri" w:hAnsi="Calibri"/>
                <w:b w:val="false"/>
                <w:bCs w:val="false"/>
                <w:sz w:val="20"/>
                <w:szCs w:val="20"/>
              </w:rPr>
              <w:t xml:space="preserve">Duration</w:t>
            </w:r>
          </w:p>
        </w:tc>
        <w:tc>
          <w:tcPr>
            <w:tcW w:type="dxa" w:w="6626"/>
            <w:tcMar>
              <w:top w:type="dxa" w:w="80"/>
              <w:left w:type="dxa" w:w="120"/>
              <w:bottom w:type="dxa" w:w="80"/>
              <w:right w:type="dxa" w:w="120"/>
            </w:tcMar>
          </w:tcPr>
          <w:p>
            <w:r>
              <w:rPr>
                <w:rFonts w:ascii="Calibri" w:cs="Calibri" w:eastAsia="Calibri" w:hAnsi="Calibri"/>
                <w:b w:val="false"/>
                <w:bCs w:val="false"/>
                <w:sz w:val="20"/>
                <w:szCs w:val="20"/>
              </w:rPr>
              <w:t xml:space="preserve">For the term of the Services agreement, plus any agreed retention period</w:t>
            </w:r>
          </w:p>
        </w:tc>
      </w:tr>
      <w:tr>
        <w:tc>
          <w:tcPr>
            <w:tcW w:type="dxa" w:w="2400"/>
            <w:tcMar>
              <w:top w:type="dxa" w:w="80"/>
              <w:left w:type="dxa" w:w="120"/>
              <w:bottom w:type="dxa" w:w="80"/>
              <w:right w:type="dxa" w:w="120"/>
            </w:tcMar>
          </w:tcPr>
          <w:p>
            <w:r>
              <w:rPr>
                <w:rFonts w:ascii="Calibri" w:cs="Calibri" w:eastAsia="Calibri" w:hAnsi="Calibri"/>
                <w:b w:val="false"/>
                <w:bCs w:val="false"/>
                <w:sz w:val="20"/>
                <w:szCs w:val="20"/>
              </w:rPr>
              <w:t xml:space="preserve">Nature and purpose</w:t>
            </w:r>
          </w:p>
        </w:tc>
        <w:tc>
          <w:tcPr>
            <w:tcW w:type="dxa" w:w="6626"/>
            <w:tcMar>
              <w:top w:type="dxa" w:w="80"/>
              <w:left w:type="dxa" w:w="120"/>
              <w:bottom w:type="dxa" w:w="80"/>
              <w:right w:type="dxa" w:w="120"/>
            </w:tcMar>
          </w:tcPr>
          <w:p>
            <w:r>
              <w:rPr>
                <w:rFonts w:ascii="Calibri" w:cs="Calibri" w:eastAsia="Calibri" w:hAnsi="Calibri"/>
                <w:b w:val="false"/>
                <w:bCs w:val="false"/>
                <w:sz w:val="20"/>
                <w:szCs w:val="20"/>
              </w:rPr>
              <w:t xml:space="preserve">Collection, storage, aggregation and display of device and application-usage data for IT security, support and workforce reporting</w:t>
            </w:r>
          </w:p>
        </w:tc>
      </w:tr>
      <w:tr>
        <w:tc>
          <w:tcPr>
            <w:tcW w:type="dxa" w:w="2400"/>
            <w:tcMar>
              <w:top w:type="dxa" w:w="80"/>
              <w:left w:type="dxa" w:w="120"/>
              <w:bottom w:type="dxa" w:w="80"/>
              <w:right w:type="dxa" w:w="120"/>
            </w:tcMar>
          </w:tcPr>
          <w:p>
            <w:r>
              <w:rPr>
                <w:rFonts w:ascii="Calibri" w:cs="Calibri" w:eastAsia="Calibri" w:hAnsi="Calibri"/>
                <w:b w:val="false"/>
                <w:bCs w:val="false"/>
                <w:sz w:val="20"/>
                <w:szCs w:val="20"/>
              </w:rPr>
              <w:t xml:space="preserve">Types of personal data</w:t>
            </w:r>
          </w:p>
        </w:tc>
        <w:tc>
          <w:tcPr>
            <w:tcW w:type="dxa" w:w="6626"/>
            <w:tcMar>
              <w:top w:type="dxa" w:w="80"/>
              <w:left w:type="dxa" w:w="120"/>
              <w:bottom w:type="dxa" w:w="80"/>
              <w:right w:type="dxa" w:w="120"/>
            </w:tcMar>
          </w:tcPr>
          <w:p>
            <w:r>
              <w:rPr>
                <w:rFonts w:ascii="Calibri" w:cs="Calibri" w:eastAsia="Calibri" w:hAnsi="Calibri"/>
                <w:b w:val="false"/>
                <w:bCs w:val="false"/>
                <w:sz w:val="20"/>
                <w:szCs w:val="20"/>
              </w:rPr>
              <w:t xml:space="preserve">Name / username, work email address, device name and identifiers, IP address, application names in use, active and idle time, device security status</w:t>
            </w:r>
          </w:p>
        </w:tc>
      </w:tr>
      <w:tr>
        <w:tc>
          <w:tcPr>
            <w:tcW w:type="dxa" w:w="2400"/>
            <w:tcMar>
              <w:top w:type="dxa" w:w="80"/>
              <w:left w:type="dxa" w:w="120"/>
              <w:bottom w:type="dxa" w:w="80"/>
              <w:right w:type="dxa" w:w="120"/>
            </w:tcMar>
          </w:tcPr>
          <w:p>
            <w:r>
              <w:rPr>
                <w:rFonts w:ascii="Calibri" w:cs="Calibri" w:eastAsia="Calibri" w:hAnsi="Calibri"/>
                <w:b w:val="false"/>
                <w:bCs w:val="false"/>
                <w:sz w:val="20"/>
                <w:szCs w:val="20"/>
              </w:rPr>
              <w:t xml:space="preserve">Categories of data subjects</w:t>
            </w:r>
          </w:p>
        </w:tc>
        <w:tc>
          <w:tcPr>
            <w:tcW w:type="dxa" w:w="6626"/>
            <w:tcMar>
              <w:top w:type="dxa" w:w="80"/>
              <w:left w:type="dxa" w:w="120"/>
              <w:bottom w:type="dxa" w:w="80"/>
              <w:right w:type="dxa" w:w="120"/>
            </w:tcMar>
          </w:tcPr>
          <w:p>
            <w:r>
              <w:rPr>
                <w:rFonts w:ascii="Calibri" w:cs="Calibri" w:eastAsia="Calibri" w:hAnsi="Calibri"/>
                <w:b w:val="false"/>
                <w:bCs w:val="false"/>
                <w:sz w:val="20"/>
                <w:szCs w:val="20"/>
              </w:rPr>
              <w:t xml:space="preserve">The Controller’s employees, contractors and other authorised users of Controller devices</w:t>
            </w:r>
          </w:p>
        </w:tc>
      </w:tr>
      <w:tr>
        <w:tc>
          <w:tcPr>
            <w:tcW w:type="dxa" w:w="2400"/>
            <w:tcMar>
              <w:top w:type="dxa" w:w="80"/>
              <w:left w:type="dxa" w:w="120"/>
              <w:bottom w:type="dxa" w:w="80"/>
              <w:right w:type="dxa" w:w="120"/>
            </w:tcMar>
          </w:tcPr>
          <w:p>
            <w:r>
              <w:rPr>
                <w:rFonts w:ascii="Calibri" w:cs="Calibri" w:eastAsia="Calibri" w:hAnsi="Calibri"/>
                <w:b w:val="false"/>
                <w:bCs w:val="false"/>
                <w:sz w:val="20"/>
                <w:szCs w:val="20"/>
              </w:rPr>
              <w:t xml:space="preserve">Special category data</w:t>
            </w:r>
          </w:p>
        </w:tc>
        <w:tc>
          <w:tcPr>
            <w:tcW w:type="dxa" w:w="6626"/>
            <w:tcMar>
              <w:top w:type="dxa" w:w="80"/>
              <w:left w:type="dxa" w:w="120"/>
              <w:bottom w:type="dxa" w:w="80"/>
              <w:right w:type="dxa" w:w="120"/>
            </w:tcMar>
          </w:tcPr>
          <w:p>
            <w:r>
              <w:rPr>
                <w:rFonts w:ascii="Calibri" w:cs="Calibri" w:eastAsia="Calibri" w:hAnsi="Calibri"/>
                <w:b w:val="false"/>
                <w:bCs w:val="false"/>
                <w:sz w:val="20"/>
                <w:szCs w:val="20"/>
              </w:rPr>
              <w:t xml:space="preserve">None intentionally processed. The Processor does not collect content, keystrokes or screenshots.</w:t>
            </w:r>
          </w:p>
        </w:tc>
      </w:tr>
    </w:tbl>
    <w:p>
      <w:pPr>
        <w:pStyle w:val="Heading1"/>
        <w:spacing w:after="140" w:before="280"/>
      </w:pPr>
      <w:r>
        <w:rPr>
          <w:rFonts w:ascii="Calibri" w:cs="Calibri" w:eastAsia="Calibri" w:hAnsi="Calibri"/>
          <w:b/>
          <w:bCs/>
          <w:color w:val="0B1120"/>
          <w:sz w:val="28"/>
          <w:szCs w:val="28"/>
        </w:rPr>
        <w:t xml:space="preserve">4. Processor obligations</w:t>
      </w:r>
    </w:p>
    <w:p>
      <w:pPr>
        <w:spacing w:after="120"/>
      </w:pPr>
      <w:r>
        <w:rPr>
          <w:rFonts w:ascii="Calibri" w:cs="Calibri" w:eastAsia="Calibri" w:hAnsi="Calibri"/>
          <w:sz w:val="22"/>
          <w:szCs w:val="22"/>
        </w:rPr>
        <w:t xml:space="preserve">The Processor shall:</w:t>
      </w:r>
    </w:p>
    <w:p>
      <w:pPr>
        <w:pStyle w:val="ListParagraph"/>
        <w:numPr>
          <w:ilvl w:val="0"/>
          <w:numId w:val="2"/>
        </w:numPr>
        <w:spacing w:after="80"/>
      </w:pPr>
      <w:r>
        <w:rPr>
          <w:rFonts w:ascii="Calibri" w:cs="Calibri" w:eastAsia="Calibri" w:hAnsi="Calibri"/>
          <w:sz w:val="22"/>
          <w:szCs w:val="22"/>
        </w:rPr>
        <w:t xml:space="preserve">Process personal data only on the Controller’s documented instructions, including on international transfers, unless required otherwise by law (in which case it will notify the Controller unless legally prohibited)</w:t>
      </w:r>
    </w:p>
    <w:p>
      <w:pPr>
        <w:pStyle w:val="ListParagraph"/>
        <w:numPr>
          <w:ilvl w:val="0"/>
          <w:numId w:val="2"/>
        </w:numPr>
        <w:spacing w:after="80"/>
      </w:pPr>
      <w:r>
        <w:rPr>
          <w:rFonts w:ascii="Calibri" w:cs="Calibri" w:eastAsia="Calibri" w:hAnsi="Calibri"/>
          <w:sz w:val="22"/>
          <w:szCs w:val="22"/>
        </w:rPr>
        <w:t xml:space="preserve">Ensure that persons authorised to process the data are subject to a duty of confidentiality</w:t>
      </w:r>
    </w:p>
    <w:p>
      <w:pPr>
        <w:pStyle w:val="ListParagraph"/>
        <w:numPr>
          <w:ilvl w:val="0"/>
          <w:numId w:val="2"/>
        </w:numPr>
        <w:spacing w:after="80"/>
      </w:pPr>
      <w:r>
        <w:rPr>
          <w:rFonts w:ascii="Calibri" w:cs="Calibri" w:eastAsia="Calibri" w:hAnsi="Calibri"/>
          <w:sz w:val="22"/>
          <w:szCs w:val="22"/>
        </w:rPr>
        <w:t xml:space="preserve">Implement appropriate technical and organisational security measures (see Annex A)</w:t>
      </w:r>
    </w:p>
    <w:p>
      <w:pPr>
        <w:pStyle w:val="ListParagraph"/>
        <w:numPr>
          <w:ilvl w:val="0"/>
          <w:numId w:val="2"/>
        </w:numPr>
        <w:spacing w:after="80"/>
      </w:pPr>
      <w:r>
        <w:rPr>
          <w:rFonts w:ascii="Calibri" w:cs="Calibri" w:eastAsia="Calibri" w:hAnsi="Calibri"/>
          <w:sz w:val="22"/>
          <w:szCs w:val="22"/>
        </w:rPr>
        <w:t xml:space="preserve">Not engage a sub-processor without the Controller’s prior written authorisation, and impose equivalent obligations on any sub-processor (see Annex B)</w:t>
      </w:r>
    </w:p>
    <w:p>
      <w:pPr>
        <w:pStyle w:val="ListParagraph"/>
        <w:numPr>
          <w:ilvl w:val="0"/>
          <w:numId w:val="2"/>
        </w:numPr>
        <w:spacing w:after="80"/>
      </w:pPr>
      <w:r>
        <w:rPr>
          <w:rFonts w:ascii="Calibri" w:cs="Calibri" w:eastAsia="Calibri" w:hAnsi="Calibri"/>
          <w:sz w:val="22"/>
          <w:szCs w:val="22"/>
        </w:rPr>
        <w:t xml:space="preserve">Assist the Controller, so far as reasonably possible, in responding to data subject rights requests</w:t>
      </w:r>
    </w:p>
    <w:p>
      <w:pPr>
        <w:pStyle w:val="ListParagraph"/>
        <w:numPr>
          <w:ilvl w:val="0"/>
          <w:numId w:val="2"/>
        </w:numPr>
        <w:spacing w:after="80"/>
      </w:pPr>
      <w:r>
        <w:rPr>
          <w:rFonts w:ascii="Calibri" w:cs="Calibri" w:eastAsia="Calibri" w:hAnsi="Calibri"/>
          <w:sz w:val="22"/>
          <w:szCs w:val="22"/>
        </w:rPr>
        <w:t xml:space="preserve">Assist the Controller with data protection impact assessments and consultation with the ICO</w:t>
      </w:r>
    </w:p>
    <w:p>
      <w:pPr>
        <w:pStyle w:val="ListParagraph"/>
        <w:numPr>
          <w:ilvl w:val="0"/>
          <w:numId w:val="2"/>
        </w:numPr>
        <w:spacing w:after="80"/>
      </w:pPr>
      <w:r>
        <w:rPr>
          <w:rFonts w:ascii="Calibri" w:cs="Calibri" w:eastAsia="Calibri" w:hAnsi="Calibri"/>
          <w:sz w:val="22"/>
          <w:szCs w:val="22"/>
        </w:rPr>
        <w:t xml:space="preserve">Notify the Controller without undue delay, and in any event within 24 hours, on becoming aware of a personal data breach</w:t>
      </w:r>
    </w:p>
    <w:p>
      <w:pPr>
        <w:pStyle w:val="ListParagraph"/>
        <w:numPr>
          <w:ilvl w:val="0"/>
          <w:numId w:val="2"/>
        </w:numPr>
        <w:spacing w:after="80"/>
      </w:pPr>
      <w:r>
        <w:rPr>
          <w:rFonts w:ascii="Calibri" w:cs="Calibri" w:eastAsia="Calibri" w:hAnsi="Calibri"/>
          <w:sz w:val="22"/>
          <w:szCs w:val="22"/>
        </w:rPr>
        <w:t xml:space="preserve">At the Controller’s choice, delete or return all personal data at the end of the Services and delete existing copies, unless required by law to retain them</w:t>
      </w:r>
    </w:p>
    <w:p>
      <w:pPr>
        <w:pStyle w:val="ListParagraph"/>
        <w:numPr>
          <w:ilvl w:val="0"/>
          <w:numId w:val="2"/>
        </w:numPr>
        <w:spacing w:after="80"/>
      </w:pPr>
      <w:r>
        <w:rPr>
          <w:rFonts w:ascii="Calibri" w:cs="Calibri" w:eastAsia="Calibri" w:hAnsi="Calibri"/>
          <w:sz w:val="22"/>
          <w:szCs w:val="22"/>
        </w:rPr>
        <w:t xml:space="preserve">Make available all information necessary to demonstrate compliance and allow for and contribute to audits, including inspections, by the Controller or its auditor</w:t>
      </w:r>
    </w:p>
    <w:p>
      <w:pPr>
        <w:pStyle w:val="Heading1"/>
        <w:spacing w:after="140" w:before="280"/>
      </w:pPr>
      <w:r>
        <w:rPr>
          <w:rFonts w:ascii="Calibri" w:cs="Calibri" w:eastAsia="Calibri" w:hAnsi="Calibri"/>
          <w:b/>
          <w:bCs/>
          <w:color w:val="0B1120"/>
          <w:sz w:val="28"/>
          <w:szCs w:val="28"/>
        </w:rPr>
        <w:t xml:space="preserve">5. Controller obligations</w:t>
      </w:r>
    </w:p>
    <w:p>
      <w:pPr>
        <w:spacing w:after="120"/>
      </w:pPr>
      <w:r>
        <w:rPr>
          <w:rFonts w:ascii="Calibri" w:cs="Calibri" w:eastAsia="Calibri" w:hAnsi="Calibri"/>
          <w:sz w:val="22"/>
          <w:szCs w:val="22"/>
        </w:rPr>
        <w:t xml:space="preserve">The Controller warrants that it:</w:t>
      </w:r>
    </w:p>
    <w:p>
      <w:pPr>
        <w:pStyle w:val="ListParagraph"/>
        <w:numPr>
          <w:ilvl w:val="0"/>
          <w:numId w:val="2"/>
        </w:numPr>
        <w:spacing w:after="80"/>
      </w:pPr>
      <w:r>
        <w:rPr>
          <w:rFonts w:ascii="Calibri" w:cs="Calibri" w:eastAsia="Calibri" w:hAnsi="Calibri"/>
          <w:sz w:val="22"/>
          <w:szCs w:val="22"/>
        </w:rPr>
        <w:t xml:space="preserve">Has a valid lawful basis for the processing and has completed a Legitimate Interests Assessment where relied upon</w:t>
      </w:r>
    </w:p>
    <w:p>
      <w:pPr>
        <w:pStyle w:val="ListParagraph"/>
        <w:numPr>
          <w:ilvl w:val="0"/>
          <w:numId w:val="2"/>
        </w:numPr>
        <w:spacing w:after="80"/>
      </w:pPr>
      <w:r>
        <w:rPr>
          <w:rFonts w:ascii="Calibri" w:cs="Calibri" w:eastAsia="Calibri" w:hAnsi="Calibri"/>
          <w:sz w:val="22"/>
          <w:szCs w:val="22"/>
        </w:rPr>
        <w:t xml:space="preserve">Has completed a Data Protection Impact Assessment where required</w:t>
      </w:r>
    </w:p>
    <w:p>
      <w:pPr>
        <w:pStyle w:val="ListParagraph"/>
        <w:numPr>
          <w:ilvl w:val="0"/>
          <w:numId w:val="2"/>
        </w:numPr>
        <w:spacing w:after="80"/>
      </w:pPr>
      <w:r>
        <w:rPr>
          <w:rFonts w:ascii="Calibri" w:cs="Calibri" w:eastAsia="Calibri" w:hAnsi="Calibri"/>
          <w:sz w:val="22"/>
          <w:szCs w:val="22"/>
        </w:rPr>
        <w:t xml:space="preserve">Has informed all affected data subjects of the monitoring, in a clear and accessible privacy notice</w:t>
      </w:r>
    </w:p>
    <w:p>
      <w:pPr>
        <w:pStyle w:val="ListParagraph"/>
        <w:numPr>
          <w:ilvl w:val="0"/>
          <w:numId w:val="2"/>
        </w:numPr>
        <w:spacing w:after="80"/>
      </w:pPr>
      <w:r>
        <w:rPr>
          <w:rFonts w:ascii="Calibri" w:cs="Calibri" w:eastAsia="Calibri" w:hAnsi="Calibri"/>
          <w:sz w:val="22"/>
          <w:szCs w:val="22"/>
        </w:rPr>
        <w:t xml:space="preserve">Will issue lawful and documented instructions to the Processor</w:t>
      </w:r>
    </w:p>
    <w:p>
      <w:pPr>
        <w:spacing w:after="120"/>
      </w:pPr>
      <w:r>
        <w:rPr>
          <w:rFonts w:ascii="Calibri" w:cs="Calibri" w:eastAsia="Calibri" w:hAnsi="Calibri"/>
          <w:sz w:val="22"/>
          <w:szCs w:val="22"/>
        </w:rPr>
        <w:t xml:space="preserve">The Processor shall not be responsible for the Controller’s failure to meet these obligations.</w:t>
      </w:r>
    </w:p>
    <w:p>
      <w:pPr>
        <w:pStyle w:val="Heading1"/>
        <w:spacing w:after="140" w:before="280"/>
      </w:pPr>
      <w:r>
        <w:rPr>
          <w:rFonts w:ascii="Calibri" w:cs="Calibri" w:eastAsia="Calibri" w:hAnsi="Calibri"/>
          <w:b/>
          <w:bCs/>
          <w:color w:val="0B1120"/>
          <w:sz w:val="28"/>
          <w:szCs w:val="28"/>
        </w:rPr>
        <w:t xml:space="preserve">6. International transfers</w:t>
      </w:r>
    </w:p>
    <w:p>
      <w:pPr>
        <w:spacing w:after="120"/>
      </w:pPr>
      <w:r>
        <w:rPr>
          <w:rFonts w:ascii="Calibri" w:cs="Calibri" w:eastAsia="Calibri" w:hAnsi="Calibri"/>
          <w:sz w:val="22"/>
          <w:szCs w:val="22"/>
        </w:rPr>
        <w:t xml:space="preserve">All personal data is stored and processed on infrastructure located in [UK / EU]. The Processor shall not transfer personal data outside the UK without the Controller’s prior written consent and an appropriate transfer mechanism.</w:t>
      </w:r>
    </w:p>
    <w:p>
      <w:pPr>
        <w:pStyle w:val="Heading1"/>
        <w:spacing w:after="140" w:before="280"/>
      </w:pPr>
      <w:r>
        <w:rPr>
          <w:rFonts w:ascii="Calibri" w:cs="Calibri" w:eastAsia="Calibri" w:hAnsi="Calibri"/>
          <w:b/>
          <w:bCs/>
          <w:color w:val="0B1120"/>
          <w:sz w:val="28"/>
          <w:szCs w:val="28"/>
        </w:rPr>
        <w:t xml:space="preserve">7. Liability and term</w:t>
      </w:r>
    </w:p>
    <w:p>
      <w:pPr>
        <w:spacing w:after="120"/>
      </w:pPr>
      <w:r>
        <w:rPr>
          <w:rFonts w:ascii="Calibri" w:cs="Calibri" w:eastAsia="Calibri" w:hAnsi="Calibri"/>
          <w:sz w:val="22"/>
          <w:szCs w:val="22"/>
        </w:rPr>
        <w:t xml:space="preserve">Each party’s liability under this Agreement is subject to the limitations set out in the underlying Services agreement between the parties. This Agreement terminates automatically on termination of the Services agreement, save for clauses which by their nature survive.</w:t>
      </w:r>
    </w:p>
    <w:p>
      <w:pPr>
        <w:pageBreakBefore/>
      </w:pPr>
    </w:p>
    <w:p>
      <w:pPr>
        <w:pStyle w:val="Heading1"/>
        <w:spacing w:after="140" w:before="280"/>
      </w:pPr>
      <w:r>
        <w:rPr>
          <w:rFonts w:ascii="Calibri" w:cs="Calibri" w:eastAsia="Calibri" w:hAnsi="Calibri"/>
          <w:b/>
          <w:bCs/>
          <w:color w:val="0B1120"/>
          <w:sz w:val="28"/>
          <w:szCs w:val="28"/>
        </w:rPr>
        <w:t xml:space="preserve">Annex A — Technical and organisational security measures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2800"/>
        <w:gridCol w:w="6226"/>
      </w:tblGrid>
      <w:tr>
        <w:tc>
          <w:tcPr>
            <w:tcW w:type="dxa" w:w="2800"/>
            <w:shd w:fill="E5F5FE" w:val="clear"/>
            <w:tcMar>
              <w:top w:type="dxa" w:w="80"/>
              <w:left w:type="dxa" w:w="120"/>
              <w:bottom w:type="dxa" w:w="80"/>
              <w:right w:type="dxa" w:w="120"/>
            </w:tcMar>
          </w:tcPr>
          <w:p>
            <w:r>
              <w:rPr>
                <w:rFonts w:ascii="Calibri" w:cs="Calibri" w:eastAsia="Calibri" w:hAnsi="Calibri"/>
                <w:b/>
                <w:bCs/>
                <w:sz w:val="20"/>
                <w:szCs w:val="20"/>
              </w:rPr>
              <w:t xml:space="preserve">Measure</w:t>
            </w:r>
          </w:p>
        </w:tc>
        <w:tc>
          <w:tcPr>
            <w:tcW w:type="dxa" w:w="6226"/>
            <w:shd w:fill="E5F5FE" w:val="clear"/>
            <w:tcMar>
              <w:top w:type="dxa" w:w="80"/>
              <w:left w:type="dxa" w:w="120"/>
              <w:bottom w:type="dxa" w:w="80"/>
              <w:right w:type="dxa" w:w="120"/>
            </w:tcMar>
          </w:tcPr>
          <w:p>
            <w:r>
              <w:rPr>
                <w:rFonts w:ascii="Calibri" w:cs="Calibri" w:eastAsia="Calibri" w:hAnsi="Calibri"/>
                <w:b/>
                <w:bCs/>
                <w:sz w:val="20"/>
                <w:szCs w:val="20"/>
              </w:rPr>
              <w:t xml:space="preserve">Implementation</w:t>
            </w:r>
          </w:p>
        </w:tc>
      </w:tr>
      <w:tr>
        <w:tc>
          <w:tcPr>
            <w:tcW w:type="dxa" w:w="2800"/>
            <w:tcMar>
              <w:top w:type="dxa" w:w="80"/>
              <w:left w:type="dxa" w:w="120"/>
              <w:bottom w:type="dxa" w:w="80"/>
              <w:right w:type="dxa" w:w="120"/>
            </w:tcMar>
          </w:tcPr>
          <w:p>
            <w:r>
              <w:rPr>
                <w:rFonts w:ascii="Calibri" w:cs="Calibri" w:eastAsia="Calibri" w:hAnsi="Calibri"/>
                <w:b w:val="false"/>
                <w:bCs w:val="false"/>
                <w:sz w:val="20"/>
                <w:szCs w:val="20"/>
              </w:rPr>
              <w:t xml:space="preserve">Encryption in transit</w:t>
            </w:r>
          </w:p>
        </w:tc>
        <w:tc>
          <w:tcPr>
            <w:tcW w:type="dxa" w:w="6226"/>
            <w:tcMar>
              <w:top w:type="dxa" w:w="80"/>
              <w:left w:type="dxa" w:w="120"/>
              <w:bottom w:type="dxa" w:w="80"/>
              <w:right w:type="dxa" w:w="120"/>
            </w:tcMar>
          </w:tcPr>
          <w:p>
            <w:r>
              <w:rPr>
                <w:rFonts w:ascii="Calibri" w:cs="Calibri" w:eastAsia="Calibri" w:hAnsi="Calibri"/>
                <w:b w:val="false"/>
                <w:bCs w:val="false"/>
                <w:sz w:val="20"/>
                <w:szCs w:val="20"/>
              </w:rPr>
              <w:t xml:space="preserve">TLS/HTTPS on all connections; agent-to-server traffic encrypted</w:t>
            </w:r>
          </w:p>
        </w:tc>
      </w:tr>
      <w:tr>
        <w:tc>
          <w:tcPr>
            <w:tcW w:type="dxa" w:w="2800"/>
            <w:tcMar>
              <w:top w:type="dxa" w:w="80"/>
              <w:left w:type="dxa" w:w="120"/>
              <w:bottom w:type="dxa" w:w="80"/>
              <w:right w:type="dxa" w:w="120"/>
            </w:tcMar>
          </w:tcPr>
          <w:p>
            <w:r>
              <w:rPr>
                <w:rFonts w:ascii="Calibri" w:cs="Calibri" w:eastAsia="Calibri" w:hAnsi="Calibri"/>
                <w:b w:val="false"/>
                <w:bCs w:val="false"/>
                <w:sz w:val="20"/>
                <w:szCs w:val="20"/>
              </w:rPr>
              <w:t xml:space="preserve">Access control</w:t>
            </w:r>
          </w:p>
        </w:tc>
        <w:tc>
          <w:tcPr>
            <w:tcW w:type="dxa" w:w="6226"/>
            <w:tcMar>
              <w:top w:type="dxa" w:w="80"/>
              <w:left w:type="dxa" w:w="120"/>
              <w:bottom w:type="dxa" w:w="80"/>
              <w:right w:type="dxa" w:w="120"/>
            </w:tcMar>
          </w:tcPr>
          <w:p>
            <w:r>
              <w:rPr>
                <w:rFonts w:ascii="Calibri" w:cs="Calibri" w:eastAsia="Calibri" w:hAnsi="Calibri"/>
                <w:b w:val="false"/>
                <w:bCs w:val="false"/>
                <w:sz w:val="20"/>
                <w:szCs w:val="20"/>
              </w:rPr>
              <w:t xml:space="preserve">Role-based access control; unique named accounts; least privilege</w:t>
            </w:r>
          </w:p>
        </w:tc>
      </w:tr>
      <w:tr>
        <w:tc>
          <w:tcPr>
            <w:tcW w:type="dxa" w:w="2800"/>
            <w:tcMar>
              <w:top w:type="dxa" w:w="80"/>
              <w:left w:type="dxa" w:w="120"/>
              <w:bottom w:type="dxa" w:w="80"/>
              <w:right w:type="dxa" w:w="120"/>
            </w:tcMar>
          </w:tcPr>
          <w:p>
            <w:r>
              <w:rPr>
                <w:rFonts w:ascii="Calibri" w:cs="Calibri" w:eastAsia="Calibri" w:hAnsi="Calibri"/>
                <w:b w:val="false"/>
                <w:bCs w:val="false"/>
                <w:sz w:val="20"/>
                <w:szCs w:val="20"/>
              </w:rPr>
              <w:t xml:space="preserve">Authentication</w:t>
            </w:r>
          </w:p>
        </w:tc>
        <w:tc>
          <w:tcPr>
            <w:tcW w:type="dxa" w:w="6226"/>
            <w:tcMar>
              <w:top w:type="dxa" w:w="80"/>
              <w:left w:type="dxa" w:w="120"/>
              <w:bottom w:type="dxa" w:w="80"/>
              <w:right w:type="dxa" w:w="120"/>
            </w:tcMar>
          </w:tcPr>
          <w:p>
            <w:r>
              <w:rPr>
                <w:rFonts w:ascii="Calibri" w:cs="Calibri" w:eastAsia="Calibri" w:hAnsi="Calibri"/>
                <w:b w:val="false"/>
                <w:bCs w:val="false"/>
                <w:sz w:val="20"/>
                <w:szCs w:val="20"/>
              </w:rPr>
              <w:t xml:space="preserve">Password hashing (bcrypt); short-lived access tokens; brute-force rate limiting</w:t>
            </w:r>
          </w:p>
        </w:tc>
      </w:tr>
      <w:tr>
        <w:tc>
          <w:tcPr>
            <w:tcW w:type="dxa" w:w="2800"/>
            <w:tcMar>
              <w:top w:type="dxa" w:w="80"/>
              <w:left w:type="dxa" w:w="120"/>
              <w:bottom w:type="dxa" w:w="80"/>
              <w:right w:type="dxa" w:w="120"/>
            </w:tcMar>
          </w:tcPr>
          <w:p>
            <w:r>
              <w:rPr>
                <w:rFonts w:ascii="Calibri" w:cs="Calibri" w:eastAsia="Calibri" w:hAnsi="Calibri"/>
                <w:b w:val="false"/>
                <w:bCs w:val="false"/>
                <w:sz w:val="20"/>
                <w:szCs w:val="20"/>
              </w:rPr>
              <w:t xml:space="preserve">Data segregation</w:t>
            </w:r>
          </w:p>
        </w:tc>
        <w:tc>
          <w:tcPr>
            <w:tcW w:type="dxa" w:w="6226"/>
            <w:tcMar>
              <w:top w:type="dxa" w:w="80"/>
              <w:left w:type="dxa" w:w="120"/>
              <w:bottom w:type="dxa" w:w="80"/>
              <w:right w:type="dxa" w:w="120"/>
            </w:tcMar>
          </w:tcPr>
          <w:p>
            <w:r>
              <w:rPr>
                <w:rFonts w:ascii="Calibri" w:cs="Calibri" w:eastAsia="Calibri" w:hAnsi="Calibri"/>
                <w:b w:val="false"/>
                <w:bCs w:val="false"/>
                <w:sz w:val="20"/>
                <w:szCs w:val="20"/>
              </w:rPr>
              <w:t xml:space="preserve">Each client’s data held in a separate, dedicated database</w:t>
            </w:r>
          </w:p>
        </w:tc>
      </w:tr>
      <w:tr>
        <w:tc>
          <w:tcPr>
            <w:tcW w:type="dxa" w:w="2800"/>
            <w:tcMar>
              <w:top w:type="dxa" w:w="80"/>
              <w:left w:type="dxa" w:w="120"/>
              <w:bottom w:type="dxa" w:w="80"/>
              <w:right w:type="dxa" w:w="120"/>
            </w:tcMar>
          </w:tcPr>
          <w:p>
            <w:r>
              <w:rPr>
                <w:rFonts w:ascii="Calibri" w:cs="Calibri" w:eastAsia="Calibri" w:hAnsi="Calibri"/>
                <w:b w:val="false"/>
                <w:bCs w:val="false"/>
                <w:sz w:val="20"/>
                <w:szCs w:val="20"/>
              </w:rPr>
              <w:t xml:space="preserve">Data minimisation</w:t>
            </w:r>
          </w:p>
        </w:tc>
        <w:tc>
          <w:tcPr>
            <w:tcW w:type="dxa" w:w="6226"/>
            <w:tcMar>
              <w:top w:type="dxa" w:w="80"/>
              <w:left w:type="dxa" w:w="120"/>
              <w:bottom w:type="dxa" w:w="80"/>
              <w:right w:type="dxa" w:w="120"/>
            </w:tcMar>
          </w:tcPr>
          <w:p>
            <w:r>
              <w:rPr>
                <w:rFonts w:ascii="Calibri" w:cs="Calibri" w:eastAsia="Calibri" w:hAnsi="Calibri"/>
                <w:b w:val="false"/>
                <w:bCs w:val="false"/>
                <w:sz w:val="20"/>
                <w:szCs w:val="20"/>
              </w:rPr>
              <w:t xml:space="preserve">Application name and duration only; no keystrokes, screenshots or content</w:t>
            </w:r>
          </w:p>
        </w:tc>
      </w:tr>
      <w:tr>
        <w:tc>
          <w:tcPr>
            <w:tcW w:type="dxa" w:w="2800"/>
            <w:tcMar>
              <w:top w:type="dxa" w:w="80"/>
              <w:left w:type="dxa" w:w="120"/>
              <w:bottom w:type="dxa" w:w="80"/>
              <w:right w:type="dxa" w:w="120"/>
            </w:tcMar>
          </w:tcPr>
          <w:p>
            <w:r>
              <w:rPr>
                <w:rFonts w:ascii="Calibri" w:cs="Calibri" w:eastAsia="Calibri" w:hAnsi="Calibri"/>
                <w:b w:val="false"/>
                <w:bCs w:val="false"/>
                <w:sz w:val="20"/>
                <w:szCs w:val="20"/>
              </w:rPr>
              <w:t xml:space="preserve">Retention</w:t>
            </w:r>
          </w:p>
        </w:tc>
        <w:tc>
          <w:tcPr>
            <w:tcW w:type="dxa" w:w="6226"/>
            <w:tcMar>
              <w:top w:type="dxa" w:w="80"/>
              <w:left w:type="dxa" w:w="120"/>
              <w:bottom w:type="dxa" w:w="80"/>
              <w:right w:type="dxa" w:w="120"/>
            </w:tcMar>
          </w:tcPr>
          <w:p>
            <w:r>
              <w:rPr>
                <w:rFonts w:ascii="Calibri" w:cs="Calibri" w:eastAsia="Calibri" w:hAnsi="Calibri"/>
                <w:b w:val="false"/>
                <w:bCs w:val="false"/>
                <w:sz w:val="20"/>
                <w:szCs w:val="20"/>
              </w:rPr>
              <w:t xml:space="preserve">Automatic deletion of activity data after the agreed retention period</w:t>
            </w:r>
          </w:p>
        </w:tc>
      </w:tr>
      <w:tr>
        <w:tc>
          <w:tcPr>
            <w:tcW w:type="dxa" w:w="2800"/>
            <w:tcMar>
              <w:top w:type="dxa" w:w="80"/>
              <w:left w:type="dxa" w:w="120"/>
              <w:bottom w:type="dxa" w:w="80"/>
              <w:right w:type="dxa" w:w="120"/>
            </w:tcMar>
          </w:tcPr>
          <w:p>
            <w:r>
              <w:rPr>
                <w:rFonts w:ascii="Calibri" w:cs="Calibri" w:eastAsia="Calibri" w:hAnsi="Calibri"/>
                <w:b w:val="false"/>
                <w:bCs w:val="false"/>
                <w:sz w:val="20"/>
                <w:szCs w:val="20"/>
              </w:rPr>
              <w:t xml:space="preserve">Backups</w:t>
            </w:r>
          </w:p>
        </w:tc>
        <w:tc>
          <w:tcPr>
            <w:tcW w:type="dxa" w:w="6226"/>
            <w:tcMar>
              <w:top w:type="dxa" w:w="80"/>
              <w:left w:type="dxa" w:w="120"/>
              <w:bottom w:type="dxa" w:w="80"/>
              <w:right w:type="dxa" w:w="120"/>
            </w:tcMar>
          </w:tcPr>
          <w:p>
            <w:r>
              <w:rPr>
                <w:rFonts w:ascii="Calibri" w:cs="Calibri" w:eastAsia="Calibri" w:hAnsi="Calibri"/>
                <w:b w:val="false"/>
                <w:bCs w:val="false"/>
                <w:sz w:val="20"/>
                <w:szCs w:val="20"/>
              </w:rPr>
              <w:t xml:space="preserve">Encrypted daily backups with defined retention</w:t>
            </w:r>
          </w:p>
        </w:tc>
      </w:tr>
      <w:tr>
        <w:tc>
          <w:tcPr>
            <w:tcW w:type="dxa" w:w="2800"/>
            <w:tcMar>
              <w:top w:type="dxa" w:w="80"/>
              <w:left w:type="dxa" w:w="120"/>
              <w:bottom w:type="dxa" w:w="80"/>
              <w:right w:type="dxa" w:w="120"/>
            </w:tcMar>
          </w:tcPr>
          <w:p>
            <w:r>
              <w:rPr>
                <w:rFonts w:ascii="Calibri" w:cs="Calibri" w:eastAsia="Calibri" w:hAnsi="Calibri"/>
                <w:b w:val="false"/>
                <w:bCs w:val="false"/>
                <w:sz w:val="20"/>
                <w:szCs w:val="20"/>
              </w:rPr>
              <w:t xml:space="preserve">Monitoring and logging</w:t>
            </w:r>
          </w:p>
        </w:tc>
        <w:tc>
          <w:tcPr>
            <w:tcW w:type="dxa" w:w="6226"/>
            <w:tcMar>
              <w:top w:type="dxa" w:w="80"/>
              <w:left w:type="dxa" w:w="120"/>
              <w:bottom w:type="dxa" w:w="80"/>
              <w:right w:type="dxa" w:w="120"/>
            </w:tcMar>
          </w:tcPr>
          <w:p>
            <w:r>
              <w:rPr>
                <w:rFonts w:ascii="Calibri" w:cs="Calibri" w:eastAsia="Calibri" w:hAnsi="Calibri"/>
                <w:b w:val="false"/>
                <w:bCs w:val="false"/>
                <w:sz w:val="20"/>
                <w:szCs w:val="20"/>
              </w:rPr>
              <w:t xml:space="preserve">Security posture monitoring and administrative audit logging</w:t>
            </w:r>
          </w:p>
        </w:tc>
      </w:tr>
      <w:tr>
        <w:tc>
          <w:tcPr>
            <w:tcW w:type="dxa" w:w="2800"/>
            <w:tcMar>
              <w:top w:type="dxa" w:w="80"/>
              <w:left w:type="dxa" w:w="120"/>
              <w:bottom w:type="dxa" w:w="80"/>
              <w:right w:type="dxa" w:w="120"/>
            </w:tcMar>
          </w:tcPr>
          <w:p>
            <w:r>
              <w:rPr>
                <w:rFonts w:ascii="Calibri" w:cs="Calibri" w:eastAsia="Calibri" w:hAnsi="Calibri"/>
                <w:b w:val="false"/>
                <w:bCs w:val="false"/>
                <w:sz w:val="20"/>
                <w:szCs w:val="20"/>
              </w:rPr>
              <w:t xml:space="preserve">Staff</w:t>
            </w:r>
          </w:p>
        </w:tc>
        <w:tc>
          <w:tcPr>
            <w:tcW w:type="dxa" w:w="6226"/>
            <w:tcMar>
              <w:top w:type="dxa" w:w="80"/>
              <w:left w:type="dxa" w:w="120"/>
              <w:bottom w:type="dxa" w:w="80"/>
              <w:right w:type="dxa" w:w="120"/>
            </w:tcMar>
          </w:tcPr>
          <w:p>
            <w:r>
              <w:rPr>
                <w:rFonts w:ascii="Calibri" w:cs="Calibri" w:eastAsia="Calibri" w:hAnsi="Calibri"/>
                <w:b w:val="false"/>
                <w:bCs w:val="false"/>
                <w:sz w:val="20"/>
                <w:szCs w:val="20"/>
              </w:rPr>
              <w:t xml:space="preserve">Access restricted to authorised personnel bound by confidentiality</w:t>
            </w:r>
          </w:p>
        </w:tc>
      </w:tr>
    </w:tbl>
    <w:p>
      <w:pPr>
        <w:pStyle w:val="Heading1"/>
        <w:spacing w:after="140" w:before="280"/>
      </w:pPr>
      <w:r>
        <w:rPr>
          <w:rFonts w:ascii="Calibri" w:cs="Calibri" w:eastAsia="Calibri" w:hAnsi="Calibri"/>
          <w:b/>
          <w:bCs/>
          <w:color w:val="0B1120"/>
          <w:sz w:val="28"/>
          <w:szCs w:val="28"/>
        </w:rPr>
        <w:t xml:space="preserve">Annex B — Authorised sub-processors</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0"/>
        <w:gridCol w:w="3526"/>
        <w:gridCol w:w="2500"/>
      </w:tblGrid>
      <w:tr>
        <w:tc>
          <w:tcPr>
            <w:tcW w:type="dxa" w:w="3000"/>
            <w:shd w:fill="E5F5FE" w:val="clear"/>
            <w:tcMar>
              <w:top w:type="dxa" w:w="80"/>
              <w:left w:type="dxa" w:w="120"/>
              <w:bottom w:type="dxa" w:w="80"/>
              <w:right w:type="dxa" w:w="120"/>
            </w:tcMar>
          </w:tcPr>
          <w:p>
            <w:r>
              <w:rPr>
                <w:rFonts w:ascii="Calibri" w:cs="Calibri" w:eastAsia="Calibri" w:hAnsi="Calibri"/>
                <w:b/>
                <w:bCs/>
                <w:sz w:val="20"/>
                <w:szCs w:val="20"/>
              </w:rPr>
              <w:t xml:space="preserve">Sub-processor</w:t>
            </w:r>
          </w:p>
        </w:tc>
        <w:tc>
          <w:tcPr>
            <w:tcW w:type="dxa" w:w="3526"/>
            <w:shd w:fill="E5F5FE" w:val="clear"/>
            <w:tcMar>
              <w:top w:type="dxa" w:w="80"/>
              <w:left w:type="dxa" w:w="120"/>
              <w:bottom w:type="dxa" w:w="80"/>
              <w:right w:type="dxa" w:w="120"/>
            </w:tcMar>
          </w:tcPr>
          <w:p>
            <w:r>
              <w:rPr>
                <w:rFonts w:ascii="Calibri" w:cs="Calibri" w:eastAsia="Calibri" w:hAnsi="Calibri"/>
                <w:b/>
                <w:bCs/>
                <w:sz w:val="20"/>
                <w:szCs w:val="20"/>
              </w:rPr>
              <w:t xml:space="preserve">Purpose</w:t>
            </w:r>
          </w:p>
        </w:tc>
        <w:tc>
          <w:tcPr>
            <w:tcW w:type="dxa" w:w="2500"/>
            <w:shd w:fill="E5F5FE" w:val="clear"/>
            <w:tcMar>
              <w:top w:type="dxa" w:w="80"/>
              <w:left w:type="dxa" w:w="120"/>
              <w:bottom w:type="dxa" w:w="80"/>
              <w:right w:type="dxa" w:w="120"/>
            </w:tcMar>
          </w:tcPr>
          <w:p>
            <w:r>
              <w:rPr>
                <w:rFonts w:ascii="Calibri" w:cs="Calibri" w:eastAsia="Calibri" w:hAnsi="Calibri"/>
                <w:b/>
                <w:bCs/>
                <w:sz w:val="20"/>
                <w:szCs w:val="20"/>
              </w:rPr>
              <w:t xml:space="preserve">Location</w:t>
            </w:r>
          </w:p>
        </w:tc>
      </w:tr>
      <w:tr>
        <w:tc>
          <w:tcPr>
            <w:tcW w:type="dxa" w:w="3000"/>
            <w:tcMar>
              <w:top w:type="dxa" w:w="80"/>
              <w:left w:type="dxa" w:w="120"/>
              <w:bottom w:type="dxa" w:w="80"/>
              <w:right w:type="dxa" w:w="120"/>
            </w:tcMar>
          </w:tcPr>
          <w:p>
            <w:r>
              <w:rPr>
                <w:rFonts w:ascii="Calibri" w:cs="Calibri" w:eastAsia="Calibri" w:hAnsi="Calibri"/>
                <w:b w:val="false"/>
                <w:bCs w:val="false"/>
                <w:sz w:val="20"/>
                <w:szCs w:val="20"/>
              </w:rPr>
              <w:t xml:space="preserve">[HOSTING PROVIDER]</w:t>
            </w:r>
          </w:p>
        </w:tc>
        <w:tc>
          <w:tcPr>
            <w:tcW w:type="dxa" w:w="3526"/>
            <w:tcMar>
              <w:top w:type="dxa" w:w="80"/>
              <w:left w:type="dxa" w:w="120"/>
              <w:bottom w:type="dxa" w:w="80"/>
              <w:right w:type="dxa" w:w="120"/>
            </w:tcMar>
          </w:tcPr>
          <w:p>
            <w:r>
              <w:rPr>
                <w:rFonts w:ascii="Calibri" w:cs="Calibri" w:eastAsia="Calibri" w:hAnsi="Calibri"/>
                <w:b w:val="false"/>
                <w:bCs w:val="false"/>
                <w:sz w:val="20"/>
                <w:szCs w:val="20"/>
              </w:rPr>
              <w:t xml:space="preserve">Server hosting and infrastructure</w:t>
            </w:r>
          </w:p>
        </w:tc>
        <w:tc>
          <w:tcPr>
            <w:tcW w:type="dxa" w:w="2500"/>
            <w:tcMar>
              <w:top w:type="dxa" w:w="80"/>
              <w:left w:type="dxa" w:w="120"/>
              <w:bottom w:type="dxa" w:w="80"/>
              <w:right w:type="dxa" w:w="120"/>
            </w:tcMar>
          </w:tcPr>
          <w:p>
            <w:r>
              <w:rPr>
                <w:rFonts w:ascii="Calibri" w:cs="Calibri" w:eastAsia="Calibri" w:hAnsi="Calibri"/>
                <w:b w:val="false"/>
                <w:bCs w:val="false"/>
                <w:sz w:val="20"/>
                <w:szCs w:val="20"/>
              </w:rPr>
              <w:t xml:space="preserve">[UK / EU]</w:t>
            </w:r>
          </w:p>
        </w:tc>
      </w:tr>
      <w:tr>
        <w:tc>
          <w:tcPr>
            <w:tcW w:type="dxa" w:w="3000"/>
            <w:tcMar>
              <w:top w:type="dxa" w:w="80"/>
              <w:left w:type="dxa" w:w="120"/>
              <w:bottom w:type="dxa" w:w="80"/>
              <w:right w:type="dxa" w:w="120"/>
            </w:tcMar>
          </w:tcPr>
          <w:p>
            <w:r>
              <w:rPr>
                <w:rFonts w:ascii="Calibri" w:cs="Calibri" w:eastAsia="Calibri" w:hAnsi="Calibri"/>
                <w:b w:val="false"/>
                <w:bCs w:val="false"/>
                <w:sz w:val="20"/>
                <w:szCs w:val="20"/>
              </w:rPr>
              <w:t xml:space="preserve">Brevo (Sendinblue)</w:t>
            </w:r>
          </w:p>
        </w:tc>
        <w:tc>
          <w:tcPr>
            <w:tcW w:type="dxa" w:w="3526"/>
            <w:tcMar>
              <w:top w:type="dxa" w:w="80"/>
              <w:left w:type="dxa" w:w="120"/>
              <w:bottom w:type="dxa" w:w="80"/>
              <w:right w:type="dxa" w:w="120"/>
            </w:tcMar>
          </w:tcPr>
          <w:p>
            <w:r>
              <w:rPr>
                <w:rFonts w:ascii="Calibri" w:cs="Calibri" w:eastAsia="Calibri" w:hAnsi="Calibri"/>
                <w:b w:val="false"/>
                <w:bCs w:val="false"/>
                <w:sz w:val="20"/>
                <w:szCs w:val="20"/>
              </w:rPr>
              <w:t xml:space="preserve">Transactional email alerts</w:t>
            </w:r>
          </w:p>
        </w:tc>
        <w:tc>
          <w:tcPr>
            <w:tcW w:type="dxa" w:w="2500"/>
            <w:tcMar>
              <w:top w:type="dxa" w:w="80"/>
              <w:left w:type="dxa" w:w="120"/>
              <w:bottom w:type="dxa" w:w="80"/>
              <w:right w:type="dxa" w:w="120"/>
            </w:tcMar>
          </w:tcPr>
          <w:p>
            <w:r>
              <w:rPr>
                <w:rFonts w:ascii="Calibri" w:cs="Calibri" w:eastAsia="Calibri" w:hAnsi="Calibri"/>
                <w:b w:val="false"/>
                <w:bCs w:val="false"/>
                <w:sz w:val="20"/>
                <w:szCs w:val="20"/>
              </w:rPr>
              <w:t xml:space="preserve">EU</w:t>
            </w:r>
          </w:p>
        </w:tc>
      </w:tr>
      <w:tr>
        <w:tc>
          <w:tcPr>
            <w:tcW w:type="dxa" w:w="3000"/>
            <w:tcMar>
              <w:top w:type="dxa" w:w="80"/>
              <w:left w:type="dxa" w:w="120"/>
              <w:bottom w:type="dxa" w:w="80"/>
              <w:right w:type="dxa" w:w="120"/>
            </w:tcMar>
          </w:tcPr>
          <w:p>
            <w:r>
              <w:rPr>
                <w:rFonts w:ascii="Calibri" w:cs="Calibri" w:eastAsia="Calibri" w:hAnsi="Calibri"/>
                <w:b w:val="false"/>
                <w:bCs w:val="false"/>
                <w:sz w:val="20"/>
                <w:szCs w:val="20"/>
              </w:rPr>
              <w:t xml:space="preserve">[ADD OTHERS]</w:t>
            </w:r>
          </w:p>
        </w:tc>
        <w:tc>
          <w:tcPr>
            <w:tcW w:type="dxa" w:w="3526"/>
            <w:tcMar>
              <w:top w:type="dxa" w:w="80"/>
              <w:left w:type="dxa" w:w="120"/>
              <w:bottom w:type="dxa" w:w="80"/>
              <w:right w:type="dxa" w:w="120"/>
            </w:tcMar>
          </w:tcPr>
          <w:p>
            <w:r>
              <w:rPr>
                <w:rFonts w:ascii="Calibri" w:cs="Calibri" w:eastAsia="Calibri" w:hAnsi="Calibri"/>
                <w:b w:val="false"/>
                <w:bCs w:val="false"/>
                <w:sz w:val="20"/>
                <w:szCs w:val="20"/>
              </w:rPr>
              <w:t xml:space="preserve"/>
            </w:r>
          </w:p>
        </w:tc>
        <w:tc>
          <w:tcPr>
            <w:tcW w:type="dxa" w:w="2500"/>
            <w:tcMar>
              <w:top w:type="dxa" w:w="80"/>
              <w:left w:type="dxa" w:w="120"/>
              <w:bottom w:type="dxa" w:w="80"/>
              <w:right w:type="dxa" w:w="120"/>
            </w:tcMar>
          </w:tcPr>
          <w:p>
            <w:r>
              <w:rPr>
                <w:rFonts w:ascii="Calibri" w:cs="Calibri" w:eastAsia="Calibri" w:hAnsi="Calibri"/>
                <w:b w:val="false"/>
                <w:bCs w:val="false"/>
                <w:sz w:val="20"/>
                <w:szCs w:val="20"/>
              </w:rPr>
              <w:t xml:space="preserve"/>
            </w:r>
          </w:p>
        </w:tc>
      </w:tr>
    </w:tbl>
    <w:p>
      <w:pPr>
        <w:pStyle w:val="Heading1"/>
        <w:spacing w:after="140" w:before="280"/>
      </w:pPr>
      <w:r>
        <w:rPr>
          <w:rFonts w:ascii="Calibri" w:cs="Calibri" w:eastAsia="Calibri" w:hAnsi="Calibri"/>
          <w:b/>
          <w:bCs/>
          <w:color w:val="0B1120"/>
          <w:sz w:val="28"/>
          <w:szCs w:val="28"/>
        </w:rPr>
        <w:t xml:space="preserve">Signatures</w:t>
      </w:r>
    </w:p>
    <w:p>
      <w:pPr>
        <w:spacing w:after="120"/>
      </w:pPr>
      <w:r>
        <w:rPr>
          <w:rFonts w:ascii="Calibri" w:cs="Calibri" w:eastAsia="Calibri" w:hAnsi="Calibri"/>
          <w:sz w:val="22"/>
          <w:szCs w:val="22"/>
        </w:rPr>
        <w:t xml:space="preserve"/>
      </w:r>
    </w:p>
    <w:p>
      <w:pPr>
        <w:spacing w:after="120"/>
      </w:pPr>
      <w:r>
        <w:rPr>
          <w:rFonts w:ascii="Calibri" w:cs="Calibri" w:eastAsia="Calibri" w:hAnsi="Calibri"/>
          <w:b/>
          <w:bCs/>
          <w:sz w:val="22"/>
          <w:szCs w:val="22"/>
        </w:rPr>
        <w:t xml:space="preserve">For and on behalf of the Controller — [CLIENT COMPANY NAME]</w:t>
      </w:r>
    </w:p>
    <w:p>
      <w:pPr>
        <w:spacing w:after="120"/>
      </w:pPr>
      <w:r>
        <w:rPr>
          <w:rFonts w:ascii="Calibri" w:cs="Calibri" w:eastAsia="Calibri" w:hAnsi="Calibri"/>
          <w:sz w:val="22"/>
          <w:szCs w:val="22"/>
        </w:rPr>
        <w:t xml:space="preserve">Name: ______________________________________    Position: ______________________________</w:t>
      </w:r>
    </w:p>
    <w:p>
      <w:pPr>
        <w:spacing w:after="120"/>
      </w:pPr>
      <w:r>
        <w:rPr>
          <w:rFonts w:ascii="Calibri" w:cs="Calibri" w:eastAsia="Calibri" w:hAnsi="Calibri"/>
          <w:sz w:val="22"/>
          <w:szCs w:val="22"/>
        </w:rPr>
        <w:t xml:space="preserve">Signature: _________________________________    Date: __________________________________</w:t>
      </w:r>
    </w:p>
    <w:p>
      <w:pPr>
        <w:spacing w:after="12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
      </w:r>
    </w:p>
    <w:p>
      <w:pPr>
        <w:spacing w:after="120"/>
      </w:pPr>
      <w:r>
        <w:rPr>
          <w:rFonts w:ascii="Calibri" w:cs="Calibri" w:eastAsia="Calibri" w:hAnsi="Calibri"/>
          <w:b/>
          <w:bCs/>
          <w:sz w:val="22"/>
          <w:szCs w:val="22"/>
        </w:rPr>
        <w:t xml:space="preserve">For and on behalf of the Processor — Alpha IT Solutions Ltd</w:t>
      </w:r>
    </w:p>
    <w:p>
      <w:pPr>
        <w:spacing w:after="120"/>
      </w:pPr>
      <w:r>
        <w:rPr>
          <w:rFonts w:ascii="Calibri" w:cs="Calibri" w:eastAsia="Calibri" w:hAnsi="Calibri"/>
          <w:sz w:val="22"/>
          <w:szCs w:val="22"/>
        </w:rPr>
        <w:t xml:space="preserve">Name: ______________________________________    Position: ______________________________</w:t>
      </w:r>
    </w:p>
    <w:p>
      <w:pPr>
        <w:spacing w:after="120"/>
      </w:pPr>
      <w:r>
        <w:rPr>
          <w:rFonts w:ascii="Calibri" w:cs="Calibri" w:eastAsia="Calibri" w:hAnsi="Calibri"/>
          <w:sz w:val="22"/>
          <w:szCs w:val="22"/>
        </w:rPr>
        <w:t xml:space="preserve">Signature: _________________________________    Date: __________________________________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2026-07-24T11:42:51.630Z</dcterms:created>
  <dcterms:modified xsi:type="dcterms:W3CDTF">2026-07-24T11:42:51.630Z</dcterms:modified>
</cp:coreProperties>
</file>

<file path=docProps/custom.xml><?xml version="1.0" encoding="utf-8"?>
<Properties xmlns="http://schemas.openxmlformats.org/officeDocument/2006/custom-properties" xmlns:vt="http://schemas.openxmlformats.org/officeDocument/2006/docPropsVTypes"/>
</file>